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6C303">
      <w:pPr>
        <w:pStyle w:val="6"/>
        <w:keepNext w:val="0"/>
        <w:keepLines w:val="0"/>
        <w:widowControl/>
        <w:suppressLineNumbers w:val="0"/>
        <w:spacing w:before="0" w:beforeAutospacing="0" w:after="156" w:afterAutospacing="0" w:line="276" w:lineRule="atLeast"/>
        <w:ind w:left="0" w:right="0" w:firstLine="0"/>
        <w:jc w:val="center"/>
        <w:rPr>
          <w:rFonts w:hint="default" w:ascii="Times New Roman" w:hAnsi="Times New Roman" w:cs="Times New Roman"/>
          <w:i w:val="0"/>
          <w:iCs w:val="0"/>
          <w:caps w:val="0"/>
          <w:color w:val="000000"/>
          <w:spacing w:val="0"/>
          <w:sz w:val="24"/>
          <w:szCs w:val="24"/>
        </w:rPr>
      </w:pPr>
      <w:r>
        <w:rPr>
          <w:rFonts w:hint="eastAsia" w:ascii="宋体" w:hAnsi="宋体" w:eastAsia="宋体" w:cs="宋体"/>
          <w:b/>
          <w:bCs/>
          <w:i w:val="0"/>
          <w:iCs w:val="0"/>
          <w:caps w:val="0"/>
          <w:color w:val="000000"/>
          <w:spacing w:val="0"/>
          <w:sz w:val="24"/>
          <w:szCs w:val="24"/>
        </w:rPr>
        <w:t>紫金财产保险股份有限公司</w:t>
      </w:r>
    </w:p>
    <w:p w14:paraId="70B14FE3">
      <w:pPr>
        <w:pStyle w:val="6"/>
        <w:keepNext w:val="0"/>
        <w:keepLines w:val="0"/>
        <w:widowControl/>
        <w:suppressLineNumbers w:val="0"/>
        <w:spacing w:before="0" w:beforeAutospacing="0" w:after="156" w:afterAutospacing="0" w:line="276" w:lineRule="atLeast"/>
        <w:ind w:left="0" w:right="0" w:firstLine="0"/>
        <w:jc w:val="center"/>
        <w:rPr>
          <w:rFonts w:hint="default" w:ascii="Times New Roman" w:hAnsi="Times New Roman" w:cs="Times New Roman"/>
          <w:i w:val="0"/>
          <w:iCs w:val="0"/>
          <w:caps w:val="0"/>
          <w:color w:val="000000"/>
          <w:spacing w:val="0"/>
          <w:sz w:val="24"/>
          <w:szCs w:val="24"/>
        </w:rPr>
      </w:pPr>
      <w:r>
        <w:rPr>
          <w:rFonts w:hint="eastAsia" w:ascii="宋体" w:hAnsi="宋体" w:eastAsia="宋体" w:cs="宋体"/>
          <w:b/>
          <w:bCs/>
          <w:i w:val="0"/>
          <w:iCs w:val="0"/>
          <w:caps w:val="0"/>
          <w:color w:val="000000"/>
          <w:spacing w:val="0"/>
          <w:sz w:val="24"/>
          <w:szCs w:val="24"/>
        </w:rPr>
        <w:t>家庭成员意外伤害保险（2022版）条款</w:t>
      </w:r>
    </w:p>
    <w:p w14:paraId="3142420D">
      <w:pPr>
        <w:pStyle w:val="6"/>
        <w:keepNext w:val="0"/>
        <w:keepLines w:val="0"/>
        <w:widowControl/>
        <w:suppressLineNumbers w:val="0"/>
        <w:spacing w:before="0" w:beforeAutospacing="0" w:after="156" w:afterAutospacing="0" w:line="242" w:lineRule="atLeast"/>
        <w:ind w:left="0" w:right="0" w:firstLine="0"/>
        <w:jc w:val="center"/>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注册编号：C00013732312022063019043</w:t>
      </w:r>
    </w:p>
    <w:p w14:paraId="3661D8B4">
      <w:pPr>
        <w:pStyle w:val="6"/>
        <w:keepNext w:val="0"/>
        <w:keepLines w:val="0"/>
        <w:widowControl/>
        <w:suppressLineNumbers w:val="0"/>
        <w:spacing w:before="0" w:beforeAutospacing="0" w:after="156" w:afterAutospacing="0" w:line="242" w:lineRule="atLeast"/>
        <w:ind w:left="0" w:right="0" w:firstLine="0"/>
        <w:jc w:val="center"/>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总则</w:t>
      </w:r>
    </w:p>
    <w:p w14:paraId="13ABF20D">
      <w:pPr>
        <w:pStyle w:val="6"/>
        <w:keepNext w:val="0"/>
        <w:keepLines w:val="0"/>
        <w:widowControl/>
        <w:suppressLineNumbers w:val="0"/>
        <w:spacing w:before="0" w:beforeAutospacing="0" w:after="156" w:afterAutospacing="0" w:line="242" w:lineRule="atLeast"/>
        <w:ind w:left="0" w:right="0" w:firstLine="444"/>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第一条 </w:t>
      </w:r>
      <w:r>
        <w:rPr>
          <w:rFonts w:hint="eastAsia" w:ascii="宋体" w:hAnsi="宋体" w:eastAsia="宋体" w:cs="宋体"/>
          <w:i w:val="0"/>
          <w:iCs w:val="0"/>
          <w:caps w:val="0"/>
          <w:color w:val="000000"/>
          <w:spacing w:val="0"/>
          <w:sz w:val="21"/>
          <w:szCs w:val="21"/>
        </w:rPr>
        <w:t>本保险合同由保险条款、投保单、保险单、保险凭证以及批单等组成。凡涉及本保险合同的约定，均应采用书面形式。</w:t>
      </w:r>
    </w:p>
    <w:p w14:paraId="49CD2392">
      <w:pPr>
        <w:pStyle w:val="6"/>
        <w:keepNext w:val="0"/>
        <w:keepLines w:val="0"/>
        <w:widowControl/>
        <w:suppressLineNumbers w:val="0"/>
        <w:spacing w:before="0" w:beforeAutospacing="0" w:after="156" w:afterAutospacing="0" w:line="242" w:lineRule="atLeast"/>
        <w:ind w:left="0" w:right="0" w:firstLine="414"/>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第二条</w:t>
      </w:r>
      <w:r>
        <w:rPr>
          <w:rFonts w:hint="eastAsia" w:ascii="宋体" w:hAnsi="宋体" w:eastAsia="宋体" w:cs="宋体"/>
          <w:b w:val="0"/>
          <w:bCs w:val="0"/>
          <w:i w:val="0"/>
          <w:iCs w:val="0"/>
          <w:caps w:val="0"/>
          <w:color w:val="000000"/>
          <w:spacing w:val="0"/>
          <w:sz w:val="21"/>
          <w:szCs w:val="21"/>
        </w:rPr>
        <w:t> </w:t>
      </w:r>
      <w:r>
        <w:rPr>
          <w:rFonts w:hint="eastAsia" w:ascii="宋体" w:hAnsi="宋体" w:eastAsia="宋体" w:cs="宋体"/>
          <w:b/>
          <w:bCs/>
          <w:i w:val="0"/>
          <w:iCs w:val="0"/>
          <w:caps w:val="0"/>
          <w:color w:val="000000"/>
          <w:spacing w:val="0"/>
          <w:sz w:val="21"/>
          <w:szCs w:val="21"/>
        </w:rPr>
        <w:t>除另有约定外，投保时年龄在六十五周岁（含）以下，身体健康，能正常工作或者生活的自然人及其子女、配偶、父母、配偶的父母，可作为本保险合同的被保险人。</w:t>
      </w:r>
    </w:p>
    <w:p w14:paraId="2F542939">
      <w:pPr>
        <w:pStyle w:val="6"/>
        <w:keepNext w:val="0"/>
        <w:keepLines w:val="0"/>
        <w:widowControl/>
        <w:suppressLineNumbers w:val="0"/>
        <w:spacing w:before="0" w:beforeAutospacing="0" w:after="156" w:afterAutospacing="0" w:line="242" w:lineRule="atLeast"/>
        <w:ind w:left="0" w:right="0" w:firstLine="414"/>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第三条 </w:t>
      </w:r>
      <w:r>
        <w:rPr>
          <w:rFonts w:hint="eastAsia" w:ascii="宋体" w:hAnsi="宋体" w:eastAsia="宋体" w:cs="宋体"/>
          <w:b w:val="0"/>
          <w:bCs w:val="0"/>
          <w:i w:val="0"/>
          <w:iCs w:val="0"/>
          <w:caps w:val="0"/>
          <w:color w:val="000000"/>
          <w:spacing w:val="0"/>
          <w:sz w:val="21"/>
          <w:szCs w:val="21"/>
        </w:rPr>
        <w:t>本保险合同的投保人应为具有完全民事行为能力的被保险人本人、对被保险人有保险利益的其他人或团体。</w:t>
      </w:r>
    </w:p>
    <w:p w14:paraId="4B10F5F3">
      <w:pPr>
        <w:pStyle w:val="6"/>
        <w:keepNext w:val="0"/>
        <w:keepLines w:val="0"/>
        <w:widowControl/>
        <w:suppressLineNumbers w:val="0"/>
        <w:spacing w:before="0" w:beforeAutospacing="0" w:after="156" w:afterAutospacing="0" w:line="242" w:lineRule="atLeast"/>
        <w:ind w:left="0" w:right="0" w:firstLine="418"/>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第四条 </w:t>
      </w:r>
      <w:r>
        <w:rPr>
          <w:rFonts w:hint="eastAsia" w:ascii="宋体" w:hAnsi="宋体" w:eastAsia="宋体" w:cs="宋体"/>
          <w:b w:val="0"/>
          <w:bCs w:val="0"/>
          <w:i w:val="0"/>
          <w:iCs w:val="0"/>
          <w:caps w:val="0"/>
          <w:color w:val="000000"/>
          <w:spacing w:val="0"/>
          <w:sz w:val="21"/>
          <w:szCs w:val="21"/>
        </w:rPr>
        <w:t>本保险合同的受益人包括：</w:t>
      </w:r>
    </w:p>
    <w:p w14:paraId="1D234267">
      <w:pPr>
        <w:pStyle w:val="6"/>
        <w:keepNext w:val="0"/>
        <w:keepLines w:val="0"/>
        <w:widowControl/>
        <w:suppressLineNumbers w:val="0"/>
        <w:spacing w:before="0" w:beforeAutospacing="0" w:after="156" w:afterAutospacing="0" w:line="242" w:lineRule="atLeast"/>
        <w:ind w:left="0" w:right="0" w:firstLine="311"/>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（一）身故保险金受益人</w:t>
      </w:r>
    </w:p>
    <w:p w14:paraId="6B6A2706">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订立本保险合同时，被保险人或投保人可指定一人或数人为身故保险金受益人。身故保险金受益人为数人时，应确定其受益顺序和受益份额；未确定受益份额的，各身故保险金受益人按照相等份额享有受益权。投保人指定受益人时须经被保险人同意。</w:t>
      </w:r>
    </w:p>
    <w:p w14:paraId="59F68D94">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被保险人死亡后，有下列情形之一的，保险金作为被保险人的遗产，由保险人依照相关法律法规的规定履行给付保险金的义务：</w:t>
      </w:r>
    </w:p>
    <w:p w14:paraId="29208E80">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1.没有指定受益人，或者受益人指定不明无法确定的；</w:t>
      </w:r>
    </w:p>
    <w:p w14:paraId="566AB7B8">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2.受益人先于被保险人死亡，没有其他受益人的；</w:t>
      </w:r>
    </w:p>
    <w:p w14:paraId="7F194FED">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3.受益人依法丧失受益权或者放弃受益权，没有其他受益人的。</w:t>
      </w:r>
    </w:p>
    <w:p w14:paraId="511063EC">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受益人与被保险人在同一事件中死亡，且不能确定死亡先后顺序的，推定受益人死亡在先。</w:t>
      </w:r>
    </w:p>
    <w:p w14:paraId="475686ED">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被保险人或投保人可以变更身故保险金受益人，但需书面通知保险人，由保险人在本保险合同上批注。</w:t>
      </w:r>
      <w:r>
        <w:rPr>
          <w:rFonts w:hint="eastAsia" w:ascii="宋体" w:hAnsi="宋体" w:eastAsia="宋体" w:cs="宋体"/>
          <w:b/>
          <w:bCs/>
          <w:i w:val="0"/>
          <w:iCs w:val="0"/>
          <w:caps w:val="0"/>
          <w:color w:val="000000"/>
          <w:spacing w:val="0"/>
          <w:sz w:val="21"/>
          <w:szCs w:val="21"/>
        </w:rPr>
        <w:t>对因身故保险金受益人变更发生的法律纠纷，保险人不承担任何责任</w:t>
      </w:r>
      <w:r>
        <w:rPr>
          <w:rFonts w:hint="eastAsia" w:ascii="宋体" w:hAnsi="宋体" w:eastAsia="宋体" w:cs="宋体"/>
          <w:i w:val="0"/>
          <w:iCs w:val="0"/>
          <w:caps w:val="0"/>
          <w:color w:val="000000"/>
          <w:spacing w:val="0"/>
          <w:sz w:val="21"/>
          <w:szCs w:val="21"/>
        </w:rPr>
        <w:t>。</w:t>
      </w:r>
    </w:p>
    <w:p w14:paraId="37350CB3">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投保人指定或变更身故保险金受益人的，应经被保险人书面同意。</w:t>
      </w:r>
    </w:p>
    <w:p w14:paraId="3385197C">
      <w:pPr>
        <w:pStyle w:val="6"/>
        <w:keepNext w:val="0"/>
        <w:keepLines w:val="0"/>
        <w:widowControl/>
        <w:suppressLineNumbers w:val="0"/>
        <w:spacing w:before="0" w:beforeAutospacing="0" w:after="156" w:afterAutospacing="0" w:line="242" w:lineRule="atLeast"/>
        <w:ind w:left="0" w:right="0" w:firstLine="311"/>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（二）残疾保险金、医疗保险金、住院津贴保险金受益人</w:t>
      </w:r>
    </w:p>
    <w:p w14:paraId="4820CBF4">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除另有约定外，本保险合同的残疾保险金、医疗保险金、住院津贴保险金的受益人为被保险人本人。</w:t>
      </w:r>
    </w:p>
    <w:p w14:paraId="06E19B9A">
      <w:pPr>
        <w:pStyle w:val="6"/>
        <w:keepNext w:val="0"/>
        <w:keepLines w:val="0"/>
        <w:widowControl/>
        <w:suppressLineNumbers w:val="0"/>
        <w:spacing w:before="0" w:beforeAutospacing="0" w:after="156" w:afterAutospacing="0" w:line="242" w:lineRule="atLeast"/>
        <w:ind w:left="0" w:right="0" w:firstLine="0"/>
        <w:jc w:val="center"/>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保险责任</w:t>
      </w:r>
    </w:p>
    <w:p w14:paraId="21967F2C">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第五条 </w:t>
      </w:r>
      <w:r>
        <w:rPr>
          <w:rFonts w:hint="eastAsia" w:ascii="宋体" w:hAnsi="宋体" w:eastAsia="宋体" w:cs="宋体"/>
          <w:b w:val="0"/>
          <w:bCs w:val="0"/>
          <w:i w:val="0"/>
          <w:iCs w:val="0"/>
          <w:caps w:val="0"/>
          <w:color w:val="000000"/>
          <w:spacing w:val="0"/>
          <w:sz w:val="21"/>
          <w:szCs w:val="21"/>
        </w:rPr>
        <w:t>在保险期间内，被保险人遭受意外伤害，并因该意外伤害导致其身故、残疾、医疗费用支出、住院治疗的，保险人依照下列约定给付保险金。</w:t>
      </w:r>
    </w:p>
    <w:p w14:paraId="602B88C1">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（一）意外身故保险责任</w:t>
      </w:r>
    </w:p>
    <w:p w14:paraId="643F578E">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在保险期间内，被保险人遭受意外伤害，并自意外伤害发生之日起180日内因该意外伤害身故的，保险人按意外伤害身故保险金额给付意外身故保险金，对该被保险人的保险责任终止。</w:t>
      </w:r>
    </w:p>
    <w:p w14:paraId="6B8EFAA2">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被保险人因遭受意外伤害且自该意外伤害发生日起下落不明，后经人民法院宣告死亡的，保险人按意外伤害身故保险金额给付意外身故保险金。</w:t>
      </w:r>
      <w:r>
        <w:rPr>
          <w:rFonts w:hint="eastAsia" w:ascii="宋体" w:hAnsi="宋体" w:eastAsia="宋体" w:cs="宋体"/>
          <w:b/>
          <w:bCs/>
          <w:i w:val="0"/>
          <w:iCs w:val="0"/>
          <w:caps w:val="0"/>
          <w:color w:val="000000"/>
          <w:spacing w:val="0"/>
          <w:sz w:val="21"/>
          <w:szCs w:val="21"/>
        </w:rPr>
        <w:t>但若被保险人被宣告死亡后生还的，保险金受领人应于知道或应当知道被保险人生还后30日内退还保险人给付的意外身故保险金。</w:t>
      </w:r>
    </w:p>
    <w:p w14:paraId="3335D1E5">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被保险人身故前保险人已给付第（二）款约定的意外残疾保险金的，意外身故保险金应扣除已给付的保险金。</w:t>
      </w:r>
    </w:p>
    <w:p w14:paraId="777A89DE">
      <w:pPr>
        <w:pStyle w:val="6"/>
        <w:keepNext w:val="0"/>
        <w:keepLines w:val="0"/>
        <w:widowControl/>
        <w:suppressLineNumbers w:val="0"/>
        <w:spacing w:before="0" w:beforeAutospacing="0" w:after="156" w:afterAutospacing="0" w:line="242" w:lineRule="atLeast"/>
        <w:ind w:left="0" w:right="0" w:firstLine="521"/>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（二）意外残疾保险责任</w:t>
      </w:r>
    </w:p>
    <w:p w14:paraId="674E4EA8">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在保险期间内，被保险人遭受意外伤害，并自意外伤害发生之日起180日内因该意外伤害造成《人身保险伤残评定标准及代码》（JR/T0083-2013）（由原中国保险监督管理委员会发布，保监发〔2014〕6号）（以下简称《伤残评定标准及代码》）所列残疾之一的，保险人按该表所列给付比例乘以意外伤害残疾保险金额给付意外残疾保险金。如第180日治疗仍未结束的，按第180日的身体情况进行残疾鉴定，并据此给付意外残疾保险金。</w:t>
      </w:r>
    </w:p>
    <w:p w14:paraId="173EAA49">
      <w:pPr>
        <w:pStyle w:val="6"/>
        <w:keepNext w:val="0"/>
        <w:keepLines w:val="0"/>
        <w:widowControl/>
        <w:suppressLineNumbers w:val="0"/>
        <w:spacing w:before="0" w:beforeAutospacing="0" w:after="156" w:afterAutospacing="0" w:line="242" w:lineRule="atLeast"/>
        <w:ind w:left="0" w:right="0" w:firstLine="420"/>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1.</w:t>
      </w:r>
      <w:r>
        <w:rPr>
          <w:rFonts w:hint="eastAsia" w:ascii="宋体" w:hAnsi="宋体" w:eastAsia="宋体" w:cs="宋体"/>
          <w:b/>
          <w:bCs/>
          <w:i w:val="0"/>
          <w:iCs w:val="0"/>
          <w:caps w:val="0"/>
          <w:color w:val="000000"/>
          <w:spacing w:val="0"/>
          <w:sz w:val="21"/>
          <w:szCs w:val="21"/>
        </w:rPr>
        <w:t>当同一保险事故造成两处或两处以上伤残时，应首先对各处伤残程度分别进行评定，如果几处伤残等级不同，以最重的伤残等级作为最终的评定结论；如果两处或两处以上伤残等级相同，伤残等级在原评定基础上最多晋升一级，最高晋升至第一级，保险人以晋升后的伤残等级作为最终的评定结论。同一部位和性质的伤残，不应采用《伤残评定标准及代码》条文两条以上或者同一条文两次以上进行评定。</w:t>
      </w:r>
    </w:p>
    <w:p w14:paraId="5B339B47">
      <w:pPr>
        <w:pStyle w:val="6"/>
        <w:keepNext w:val="0"/>
        <w:keepLines w:val="0"/>
        <w:widowControl/>
        <w:suppressLineNumbers w:val="0"/>
        <w:spacing w:before="0" w:beforeAutospacing="0" w:after="156" w:afterAutospacing="0" w:line="242" w:lineRule="atLeast"/>
        <w:ind w:left="0" w:right="0" w:firstLine="420"/>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2.被保险人如在本次意外伤害事故之前已有伤残，保险人按合并后的伤残程度在《伤残评定标准及代码》中所对应的给付比例给付残疾保险金，</w:t>
      </w:r>
      <w:r>
        <w:rPr>
          <w:rFonts w:hint="eastAsia" w:ascii="宋体" w:hAnsi="宋体" w:eastAsia="宋体" w:cs="宋体"/>
          <w:b/>
          <w:bCs/>
          <w:i w:val="0"/>
          <w:iCs w:val="0"/>
          <w:caps w:val="0"/>
          <w:color w:val="000000"/>
          <w:spacing w:val="0"/>
          <w:sz w:val="21"/>
          <w:szCs w:val="21"/>
        </w:rPr>
        <w:t>但应扣除原有伤残程度在《伤残评定标准及代码》所对应的残疾保险金。</w:t>
      </w:r>
    </w:p>
    <w:p w14:paraId="3B751D2F">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在保险期间内，前述第（一）、（二）款下的保险金累计给付金额以保险合同载明的意外伤害身故、残疾保险金额为限。</w:t>
      </w:r>
    </w:p>
    <w:p w14:paraId="5E0DCE42">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（三）意外伤害医疗保险责任</w:t>
      </w:r>
    </w:p>
    <w:p w14:paraId="621D9C4A">
      <w:pPr>
        <w:pStyle w:val="6"/>
        <w:keepNext w:val="0"/>
        <w:keepLines w:val="0"/>
        <w:widowControl/>
        <w:suppressLineNumbers w:val="0"/>
        <w:spacing w:before="0" w:beforeAutospacing="0" w:after="156" w:afterAutospacing="0" w:line="242" w:lineRule="atLeast"/>
        <w:ind w:left="0" w:right="0" w:firstLine="420"/>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在保险期间内，被保险人遭受意外伤害，并自意外伤害发生之日起180日内因该意外伤害在符合本条款第二十七条释义的医院（以下简称“释义医院”）进行必要的治疗，保险人在本保险合同中所载明的意外伤害医疗保险金额内，按下列约定给付意外伤害医疗费用保险金：</w:t>
      </w:r>
    </w:p>
    <w:p w14:paraId="6293B673">
      <w:pPr>
        <w:pStyle w:val="6"/>
        <w:keepNext w:val="0"/>
        <w:keepLines w:val="0"/>
        <w:widowControl/>
        <w:suppressLineNumbers w:val="0"/>
        <w:spacing w:before="0" w:beforeAutospacing="0" w:after="156" w:afterAutospacing="0" w:line="242" w:lineRule="atLeast"/>
        <w:ind w:left="0" w:right="0" w:firstLine="420"/>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（1）保险人在扣除本保险合同中约定的免赔额后，根据被保险人实际支付的符合当地社会基本医疗保险支付范围的、必要的、合理的医疗费用按本保险合同中约定的给付比例给付意外伤害医疗保险金。</w:t>
      </w:r>
      <w:r>
        <w:rPr>
          <w:rFonts w:hint="eastAsia" w:ascii="宋体" w:hAnsi="宋体" w:eastAsia="宋体" w:cs="宋体"/>
          <w:b/>
          <w:bCs/>
          <w:i w:val="0"/>
          <w:iCs w:val="0"/>
          <w:caps w:val="0"/>
          <w:color w:val="000000"/>
          <w:spacing w:val="0"/>
          <w:sz w:val="21"/>
          <w:szCs w:val="21"/>
        </w:rPr>
        <w:t>除本合同另有约定外，免赔额为100元，给付比例为90%。</w:t>
      </w:r>
    </w:p>
    <w:p w14:paraId="7D253B19">
      <w:pPr>
        <w:pStyle w:val="6"/>
        <w:keepNext w:val="0"/>
        <w:keepLines w:val="0"/>
        <w:widowControl/>
        <w:suppressLineNumbers w:val="0"/>
        <w:spacing w:before="0" w:beforeAutospacing="0" w:after="156" w:afterAutospacing="0" w:line="242" w:lineRule="atLeast"/>
        <w:ind w:left="0" w:right="0" w:firstLine="420"/>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2）本保险合同为费用补偿型保险合同，适用医疗费用补偿原则。若被保险人的损失已从其他保险单或其它途径获得赔偿，保险人可根据有关单位或保险单承保公司出具的相关单证或给付保险金证明，在扣除前述其他赔偿额之后，对其余额按本款第（1）项约定承担赔偿责任。</w:t>
      </w:r>
    </w:p>
    <w:p w14:paraId="752D2F69">
      <w:pPr>
        <w:pStyle w:val="6"/>
        <w:keepNext w:val="0"/>
        <w:keepLines w:val="0"/>
        <w:widowControl/>
        <w:suppressLineNumbers w:val="0"/>
        <w:spacing w:before="0" w:beforeAutospacing="0" w:after="156" w:afterAutospacing="0" w:line="242" w:lineRule="atLeast"/>
        <w:ind w:left="0" w:right="0" w:firstLine="420"/>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（四）意外伤害住院津贴保险责任</w:t>
      </w:r>
    </w:p>
    <w:p w14:paraId="122B14F3">
      <w:pPr>
        <w:pStyle w:val="6"/>
        <w:keepNext w:val="0"/>
        <w:keepLines w:val="0"/>
        <w:widowControl/>
        <w:suppressLineNumbers w:val="0"/>
        <w:spacing w:before="0" w:beforeAutospacing="0" w:after="156" w:afterAutospacing="0" w:line="242" w:lineRule="atLeast"/>
        <w:ind w:left="0" w:right="0" w:firstLine="420"/>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在保险期间内，被保险人遭受意外伤害，并因该意外伤害导致身体伤害而在本条款释义的医院进行必要的住院治疗，</w:t>
      </w:r>
      <w:r>
        <w:rPr>
          <w:rFonts w:hint="eastAsia" w:ascii="宋体" w:hAnsi="宋体" w:eastAsia="宋体" w:cs="宋体"/>
          <w:b/>
          <w:bCs/>
          <w:i w:val="0"/>
          <w:iCs w:val="0"/>
          <w:caps w:val="0"/>
          <w:color w:val="000000"/>
          <w:spacing w:val="0"/>
          <w:sz w:val="21"/>
          <w:szCs w:val="21"/>
        </w:rPr>
        <w:t>保险人对每次住院天数在扣除约定的免赔天数后</w:t>
      </w:r>
      <w:r>
        <w:rPr>
          <w:rFonts w:hint="eastAsia" w:ascii="宋体" w:hAnsi="宋体" w:eastAsia="宋体" w:cs="宋体"/>
          <w:b w:val="0"/>
          <w:bCs w:val="0"/>
          <w:i w:val="0"/>
          <w:iCs w:val="0"/>
          <w:caps w:val="0"/>
          <w:color w:val="000000"/>
          <w:spacing w:val="0"/>
          <w:sz w:val="21"/>
          <w:szCs w:val="21"/>
        </w:rPr>
        <w:t>，按照本保险合同中列明的每日意外住院津贴金额与扣除免赔天数的住院天数乘积向被保险人给付意外伤害住院津贴，</w:t>
      </w:r>
      <w:r>
        <w:rPr>
          <w:rFonts w:hint="eastAsia" w:ascii="宋体" w:hAnsi="宋体" w:eastAsia="宋体" w:cs="宋体"/>
          <w:b/>
          <w:bCs/>
          <w:i w:val="0"/>
          <w:iCs w:val="0"/>
          <w:caps w:val="0"/>
          <w:color w:val="000000"/>
          <w:spacing w:val="0"/>
          <w:sz w:val="21"/>
          <w:szCs w:val="21"/>
        </w:rPr>
        <w:t>但同一次住院给付天数不超过90天，保险人在保险期间内向同一被保险人累计给付天数不超过180天。同一次住院给付天数和累计给付天数，保险合同另有约定的以约定为准。</w:t>
      </w:r>
    </w:p>
    <w:p w14:paraId="3E991822">
      <w:pPr>
        <w:pStyle w:val="6"/>
        <w:keepNext w:val="0"/>
        <w:keepLines w:val="0"/>
        <w:widowControl/>
        <w:suppressLineNumbers w:val="0"/>
        <w:spacing w:before="0" w:beforeAutospacing="0" w:after="156" w:afterAutospacing="0" w:line="242" w:lineRule="atLeast"/>
        <w:ind w:left="0" w:right="0" w:firstLine="420"/>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免赔天数由投保人在投保时与保险人约定并在保险合同上载明。</w:t>
      </w:r>
    </w:p>
    <w:p w14:paraId="595F25B0">
      <w:pPr>
        <w:pStyle w:val="6"/>
        <w:keepNext w:val="0"/>
        <w:keepLines w:val="0"/>
        <w:widowControl/>
        <w:suppressLineNumbers w:val="0"/>
        <w:spacing w:before="0" w:beforeAutospacing="0" w:after="156" w:afterAutospacing="0" w:line="242" w:lineRule="atLeast"/>
        <w:ind w:left="0" w:right="0" w:firstLine="315"/>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五）保险人对每一被保险人所负给付上述各项保险金的责任以本保险合同所载每一被保险人的各项对应保险金额为限，一次或累计给付的保险金达到某一被保险人某项保险金额时，保险人在保险合同项下对该被保险人在该项保障下的保险责任终止。             </w:t>
      </w:r>
    </w:p>
    <w:p w14:paraId="6B013C72">
      <w:pPr>
        <w:pStyle w:val="6"/>
        <w:keepNext w:val="0"/>
        <w:keepLines w:val="0"/>
        <w:widowControl/>
        <w:suppressLineNumbers w:val="0"/>
        <w:spacing w:before="0" w:beforeAutospacing="0" w:after="156" w:afterAutospacing="0" w:line="242" w:lineRule="atLeast"/>
        <w:ind w:left="0" w:right="0" w:firstLine="0"/>
        <w:jc w:val="center"/>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责任免除</w:t>
      </w:r>
    </w:p>
    <w:p w14:paraId="746CD250">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第六条 因下列原因造成被保险人身故、残疾、医疗费用支出或住院治疗的，保险人不承担给付保险金责任：</w:t>
      </w:r>
    </w:p>
    <w:p w14:paraId="07BDB74F">
      <w:pPr>
        <w:pStyle w:val="6"/>
        <w:keepNext w:val="0"/>
        <w:keepLines w:val="0"/>
        <w:widowControl/>
        <w:suppressLineNumbers w:val="0"/>
        <w:spacing w:before="0" w:beforeAutospacing="0" w:after="156" w:afterAutospacing="0" w:line="242" w:lineRule="atLeast"/>
        <w:ind w:left="1155" w:right="0" w:hanging="7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（一)</w:t>
      </w:r>
      <w:r>
        <w:rPr>
          <w:rFonts w:ascii="Times New Roman" w:hAnsi="Times New Roman" w:cs="Times New Roman"/>
          <w:i w:val="0"/>
          <w:iCs w:val="0"/>
          <w:caps w:val="0"/>
          <w:color w:val="000000"/>
          <w:spacing w:val="0"/>
          <w:sz w:val="14"/>
          <w:szCs w:val="14"/>
        </w:rPr>
        <w:t>      </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投保人的故意行为；</w:t>
      </w:r>
    </w:p>
    <w:p w14:paraId="2E4BD776">
      <w:pPr>
        <w:pStyle w:val="6"/>
        <w:keepNext w:val="0"/>
        <w:keepLines w:val="0"/>
        <w:widowControl/>
        <w:suppressLineNumbers w:val="0"/>
        <w:spacing w:before="0" w:beforeAutospacing="0" w:after="156" w:afterAutospacing="0" w:line="242" w:lineRule="atLeast"/>
        <w:ind w:left="1155" w:right="0" w:hanging="7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（二)</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被保险人自致伤害或自杀，但被保险人自杀时为无民事行为能力人的除外；</w:t>
      </w:r>
    </w:p>
    <w:p w14:paraId="0D71570B">
      <w:pPr>
        <w:pStyle w:val="6"/>
        <w:keepNext w:val="0"/>
        <w:keepLines w:val="0"/>
        <w:widowControl/>
        <w:suppressLineNumbers w:val="0"/>
        <w:spacing w:before="0" w:beforeAutospacing="0" w:after="156" w:afterAutospacing="0" w:line="242" w:lineRule="atLeast"/>
        <w:ind w:left="1155" w:right="0" w:hanging="7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（三)</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被保险人挑衅或故意行为导致争持、打斗而引发意外或者因此被攻击、被伤害或者被杀害；</w:t>
      </w:r>
    </w:p>
    <w:p w14:paraId="697E34DB">
      <w:pPr>
        <w:pStyle w:val="6"/>
        <w:keepNext w:val="0"/>
        <w:keepLines w:val="0"/>
        <w:widowControl/>
        <w:suppressLineNumbers w:val="0"/>
        <w:spacing w:before="0" w:beforeAutospacing="0" w:after="156" w:afterAutospacing="0" w:line="242" w:lineRule="atLeast"/>
        <w:ind w:left="1155" w:right="0" w:hanging="7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（四)</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被保险人被依法拘留、服刑期间，或在逃期间；</w:t>
      </w:r>
    </w:p>
    <w:p w14:paraId="4AB64177">
      <w:pPr>
        <w:pStyle w:val="6"/>
        <w:keepNext w:val="0"/>
        <w:keepLines w:val="0"/>
        <w:widowControl/>
        <w:suppressLineNumbers w:val="0"/>
        <w:spacing w:before="0" w:beforeAutospacing="0" w:after="156" w:afterAutospacing="0" w:line="242" w:lineRule="atLeast"/>
        <w:ind w:left="1155" w:right="0" w:hanging="7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（五)</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被保险人未遵医嘱，私自服用、涂用、注射药物；</w:t>
      </w:r>
    </w:p>
    <w:p w14:paraId="5C21A4CB">
      <w:pPr>
        <w:pStyle w:val="6"/>
        <w:keepNext w:val="0"/>
        <w:keepLines w:val="0"/>
        <w:widowControl/>
        <w:suppressLineNumbers w:val="0"/>
        <w:spacing w:before="0" w:beforeAutospacing="0" w:after="156" w:afterAutospacing="0" w:line="242" w:lineRule="atLeast"/>
        <w:ind w:left="1155" w:right="0" w:hanging="7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（六)</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被保险人猝死、中暑、妊娠、流产（但因遭受意外伤害所致不在此限）、分娩、疾病、药物过敏；</w:t>
      </w:r>
    </w:p>
    <w:p w14:paraId="2122AA5D">
      <w:pPr>
        <w:pStyle w:val="6"/>
        <w:keepNext w:val="0"/>
        <w:keepLines w:val="0"/>
        <w:widowControl/>
        <w:suppressLineNumbers w:val="0"/>
        <w:spacing w:before="0" w:beforeAutospacing="0" w:after="156" w:afterAutospacing="0" w:line="242" w:lineRule="atLeast"/>
        <w:ind w:left="1155" w:right="0" w:hanging="7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（七)</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被保险人接受整容手术及其他内、外科手术（但因遭受意外伤害所致不在此限）；</w:t>
      </w:r>
    </w:p>
    <w:p w14:paraId="667DEB1D">
      <w:pPr>
        <w:pStyle w:val="6"/>
        <w:keepNext w:val="0"/>
        <w:keepLines w:val="0"/>
        <w:widowControl/>
        <w:suppressLineNumbers w:val="0"/>
        <w:spacing w:before="0" w:beforeAutospacing="0" w:after="156" w:afterAutospacing="0" w:line="242" w:lineRule="atLeast"/>
        <w:ind w:left="1155" w:right="0" w:hanging="7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（八)</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被保险人从事高风险运动或参加职业或半职业体育运动；</w:t>
      </w:r>
    </w:p>
    <w:p w14:paraId="52D1D78B">
      <w:pPr>
        <w:pStyle w:val="6"/>
        <w:keepNext w:val="0"/>
        <w:keepLines w:val="0"/>
        <w:widowControl/>
        <w:suppressLineNumbers w:val="0"/>
        <w:spacing w:before="0" w:beforeAutospacing="0" w:after="156" w:afterAutospacing="0" w:line="242" w:lineRule="atLeast"/>
        <w:ind w:left="1155" w:right="0" w:hanging="7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（九)</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任何生物、化学、原子能武器，原子能或核能装置所造成的爆炸、灼伤、污染或辐射；</w:t>
      </w:r>
    </w:p>
    <w:p w14:paraId="65D031F9">
      <w:pPr>
        <w:pStyle w:val="6"/>
        <w:keepNext w:val="0"/>
        <w:keepLines w:val="0"/>
        <w:widowControl/>
        <w:suppressLineNumbers w:val="0"/>
        <w:spacing w:before="0" w:beforeAutospacing="0" w:after="156" w:afterAutospacing="0" w:line="242" w:lineRule="atLeast"/>
        <w:ind w:left="1155" w:right="0" w:hanging="7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（十)</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被保险人从事或参与恐怖主义活动、邪教组织活动。</w:t>
      </w:r>
    </w:p>
    <w:p w14:paraId="2AE90701">
      <w:pPr>
        <w:pStyle w:val="6"/>
        <w:keepNext w:val="0"/>
        <w:keepLines w:val="0"/>
        <w:widowControl/>
        <w:suppressLineNumbers w:val="0"/>
        <w:spacing w:before="0" w:beforeAutospacing="0" w:after="156" w:afterAutospacing="0" w:line="242" w:lineRule="atLeast"/>
        <w:ind w:left="0" w:right="0" w:firstLine="525"/>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第七条 被保险人在下列期间或存在下列情形遭受意外伤害导致身故、残疾或医疗费用支出或住院的，保险人也不承担给付保险金责任：</w:t>
      </w:r>
    </w:p>
    <w:p w14:paraId="7541CACF">
      <w:pPr>
        <w:pStyle w:val="6"/>
        <w:keepNext w:val="0"/>
        <w:keepLines w:val="0"/>
        <w:widowControl/>
        <w:suppressLineNumbers w:val="0"/>
        <w:spacing w:before="0" w:beforeAutospacing="0" w:after="156" w:afterAutospacing="0" w:line="242" w:lineRule="atLeast"/>
        <w:ind w:left="1155" w:right="0" w:hanging="7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（一)</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战争、军事行动、暴乱或武装叛乱；</w:t>
      </w:r>
    </w:p>
    <w:p w14:paraId="0546B451">
      <w:pPr>
        <w:pStyle w:val="6"/>
        <w:keepNext w:val="0"/>
        <w:keepLines w:val="0"/>
        <w:widowControl/>
        <w:suppressLineNumbers w:val="0"/>
        <w:spacing w:before="0" w:beforeAutospacing="0" w:after="156" w:afterAutospacing="0" w:line="242" w:lineRule="atLeast"/>
        <w:ind w:left="1155" w:right="0" w:hanging="7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（二)</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被保险人酒后驾驶、无有效驾驶证驾驶或驾驶无有效行驶证的机动车；</w:t>
      </w:r>
    </w:p>
    <w:p w14:paraId="5367FA2E">
      <w:pPr>
        <w:pStyle w:val="6"/>
        <w:keepNext w:val="0"/>
        <w:keepLines w:val="0"/>
        <w:widowControl/>
        <w:suppressLineNumbers w:val="0"/>
        <w:spacing w:before="0" w:beforeAutospacing="0" w:after="156" w:afterAutospacing="0" w:line="242" w:lineRule="atLeast"/>
        <w:ind w:left="1155" w:right="0" w:hanging="7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（三)</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被保险人吸食或注射毒品、酗酒或受酒精、管制药物的影响而导致的意外；</w:t>
      </w:r>
    </w:p>
    <w:p w14:paraId="6212EF11">
      <w:pPr>
        <w:pStyle w:val="6"/>
        <w:keepNext w:val="0"/>
        <w:keepLines w:val="0"/>
        <w:widowControl/>
        <w:suppressLineNumbers w:val="0"/>
        <w:spacing w:before="0" w:beforeAutospacing="0" w:after="156" w:afterAutospacing="0" w:line="242" w:lineRule="atLeast"/>
        <w:ind w:left="1155" w:right="0" w:hanging="7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（四)</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被保险人患艾滋病（AIDS）或感染艾滋病毒（HIV呈阳性）期间；</w:t>
      </w:r>
    </w:p>
    <w:p w14:paraId="55B5F7EF">
      <w:pPr>
        <w:pStyle w:val="6"/>
        <w:keepNext w:val="0"/>
        <w:keepLines w:val="0"/>
        <w:widowControl/>
        <w:suppressLineNumbers w:val="0"/>
        <w:spacing w:before="0" w:beforeAutospacing="0" w:after="156" w:afterAutospacing="0" w:line="242" w:lineRule="atLeast"/>
        <w:ind w:left="1155" w:right="0" w:hanging="720"/>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（五)</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被保险人健康护理(含体检、健康体检、疗养、特别护理或静养) 等非治疗性的行为及无客观病征证明其不健康及以捐献身体器官为目的的医疗行为；</w:t>
      </w:r>
    </w:p>
    <w:p w14:paraId="7A67E957">
      <w:pPr>
        <w:pStyle w:val="6"/>
        <w:keepNext w:val="0"/>
        <w:keepLines w:val="0"/>
        <w:widowControl/>
        <w:suppressLineNumbers w:val="0"/>
        <w:spacing w:before="0" w:beforeAutospacing="0" w:after="156" w:afterAutospacing="0" w:line="242" w:lineRule="atLeast"/>
        <w:ind w:left="1155" w:right="0" w:hanging="720"/>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（六)</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被保险人发生的护理（陪住）费、取暖费、交通费、误工费、空调费、膳食费、特需服务费、营养性药品等需要自理的费用；</w:t>
      </w:r>
    </w:p>
    <w:p w14:paraId="6D709679">
      <w:pPr>
        <w:pStyle w:val="6"/>
        <w:keepNext w:val="0"/>
        <w:keepLines w:val="0"/>
        <w:widowControl/>
        <w:suppressLineNumbers w:val="0"/>
        <w:spacing w:before="0" w:beforeAutospacing="0" w:after="156" w:afterAutospacing="0" w:line="242" w:lineRule="atLeast"/>
        <w:ind w:left="1155" w:right="0" w:hanging="720"/>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（七)</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投保前已有疾病、残疾的康复或治疗产生的费用 ；</w:t>
      </w:r>
    </w:p>
    <w:p w14:paraId="650CF647">
      <w:pPr>
        <w:pStyle w:val="6"/>
        <w:keepNext w:val="0"/>
        <w:keepLines w:val="0"/>
        <w:widowControl/>
        <w:suppressLineNumbers w:val="0"/>
        <w:spacing w:before="0" w:beforeAutospacing="0" w:after="156" w:afterAutospacing="0" w:line="242" w:lineRule="atLeast"/>
        <w:ind w:left="1155" w:right="0" w:hanging="720"/>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（八)</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用于矫形、整容、美容、心理咨询、器官移植、角膜屈光成形手术或修复、安装及购买残疾用具（如轮椅、假肢、助听器、假眼、假牙、配镜等）的费用；</w:t>
      </w:r>
    </w:p>
    <w:p w14:paraId="5BBB9FA2">
      <w:pPr>
        <w:pStyle w:val="6"/>
        <w:keepNext w:val="0"/>
        <w:keepLines w:val="0"/>
        <w:widowControl/>
        <w:suppressLineNumbers w:val="0"/>
        <w:spacing w:before="0" w:beforeAutospacing="0" w:after="156" w:afterAutospacing="0" w:line="242" w:lineRule="atLeast"/>
        <w:ind w:left="1155" w:right="0" w:hanging="720"/>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（九)</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被保险人在家自设病床治疗；</w:t>
      </w:r>
    </w:p>
    <w:p w14:paraId="3AE1A4D7">
      <w:pPr>
        <w:pStyle w:val="6"/>
        <w:keepNext w:val="0"/>
        <w:keepLines w:val="0"/>
        <w:widowControl/>
        <w:suppressLineNumbers w:val="0"/>
        <w:spacing w:before="0" w:beforeAutospacing="0" w:after="156" w:afterAutospacing="0" w:line="242" w:lineRule="atLeast"/>
        <w:ind w:left="1155" w:right="0" w:hanging="720"/>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（十)</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被保险人在非释义医院治疗发生的医疗费用或保险单签发地社会医疗保险主管部门规定的自费项目；</w:t>
      </w:r>
    </w:p>
    <w:p w14:paraId="5B085683">
      <w:pPr>
        <w:pStyle w:val="6"/>
        <w:keepNext w:val="0"/>
        <w:keepLines w:val="0"/>
        <w:widowControl/>
        <w:suppressLineNumbers w:val="0"/>
        <w:spacing w:before="0" w:beforeAutospacing="0" w:after="156" w:afterAutospacing="0" w:line="242" w:lineRule="atLeast"/>
        <w:ind w:left="1155" w:right="0" w:hanging="720"/>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（十一)</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因医疗损害、医疗意外及并发症增加的医疗费；</w:t>
      </w:r>
    </w:p>
    <w:p w14:paraId="32B558B1">
      <w:pPr>
        <w:pStyle w:val="6"/>
        <w:keepNext w:val="0"/>
        <w:keepLines w:val="0"/>
        <w:widowControl/>
        <w:suppressLineNumbers w:val="0"/>
        <w:spacing w:before="0" w:beforeAutospacing="0" w:after="156" w:afterAutospacing="0" w:line="242" w:lineRule="atLeast"/>
        <w:ind w:left="1155" w:right="0" w:hanging="720"/>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（十二)</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本保险条款第六条约定的责任免除事项；</w:t>
      </w:r>
    </w:p>
    <w:p w14:paraId="14EBF150">
      <w:pPr>
        <w:pStyle w:val="6"/>
        <w:keepNext w:val="0"/>
        <w:keepLines w:val="0"/>
        <w:widowControl/>
        <w:suppressLineNumbers w:val="0"/>
        <w:spacing w:before="0" w:beforeAutospacing="0" w:after="156" w:afterAutospacing="0" w:line="242" w:lineRule="atLeast"/>
        <w:ind w:left="1155" w:right="0" w:hanging="720"/>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（十三)</w:t>
      </w:r>
      <w:r>
        <w:rPr>
          <w:rFonts w:hint="default" w:ascii="Times New Roman" w:hAnsi="Times New Roman" w:cs="Times New Roman"/>
          <w:i w:val="0"/>
          <w:iCs w:val="0"/>
          <w:caps w:val="0"/>
          <w:color w:val="000000"/>
          <w:spacing w:val="0"/>
          <w:sz w:val="14"/>
          <w:szCs w:val="14"/>
        </w:rPr>
        <w:t>   </w:t>
      </w:r>
      <w:r>
        <w:rPr>
          <w:rFonts w:hint="eastAsia" w:ascii="宋体" w:hAnsi="宋体" w:eastAsia="宋体" w:cs="宋体"/>
          <w:b/>
          <w:bCs/>
          <w:i w:val="0"/>
          <w:iCs w:val="0"/>
          <w:caps w:val="0"/>
          <w:color w:val="000000"/>
          <w:spacing w:val="0"/>
          <w:sz w:val="21"/>
          <w:szCs w:val="21"/>
        </w:rPr>
        <w:t>其它在保险单或保险凭证中载明的责任免除事项及免赔额、免赔率。</w:t>
      </w:r>
    </w:p>
    <w:p w14:paraId="28CE040F">
      <w:pPr>
        <w:pStyle w:val="6"/>
        <w:keepNext w:val="0"/>
        <w:keepLines w:val="0"/>
        <w:widowControl/>
        <w:suppressLineNumbers w:val="0"/>
        <w:spacing w:before="0" w:beforeAutospacing="0" w:after="156" w:afterAutospacing="0" w:line="242" w:lineRule="atLeast"/>
        <w:ind w:left="0" w:right="0" w:firstLine="0"/>
        <w:jc w:val="center"/>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保险金额和保险费</w:t>
      </w:r>
    </w:p>
    <w:p w14:paraId="37F6EE52">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第八条 </w:t>
      </w:r>
      <w:r>
        <w:rPr>
          <w:rFonts w:hint="eastAsia" w:ascii="宋体" w:hAnsi="宋体" w:eastAsia="宋体" w:cs="宋体"/>
          <w:b w:val="0"/>
          <w:bCs w:val="0"/>
          <w:i w:val="0"/>
          <w:iCs w:val="0"/>
          <w:caps w:val="0"/>
          <w:color w:val="000000"/>
          <w:spacing w:val="0"/>
          <w:sz w:val="21"/>
          <w:szCs w:val="21"/>
        </w:rPr>
        <w:t>保险金额是保险人承担给付保险金责任的最高限额。</w:t>
      </w:r>
    </w:p>
    <w:p w14:paraId="31DBA0D4">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每一家庭的意外伤害身故、残疾保险金额和意外伤害医疗保险金额、意外伤害住院津贴保险金额由投保人与保险人协商确定，并在保险合同中载明。其中，每一被保险人的意外伤害身故、残疾保险金额和意外伤害医疗保险金额、意外伤害住院津贴保险金额可选择按照以下方式之一进行分配，并在保险合同中载明。</w:t>
      </w:r>
    </w:p>
    <w:p w14:paraId="12F47BEA">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（一）家庭成员均分保额</w:t>
      </w:r>
    </w:p>
    <w:p w14:paraId="06E22684">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每一被保险人的意外伤害身故、残疾保险金额和意外伤害医疗保险金额、意外伤害住院津贴保险金额为该家庭的意外伤害身故、残疾保险金额和意外伤害医疗保险金额、意外伤害住院津贴保险金额除以该家庭的被保险人总人数。</w:t>
      </w:r>
    </w:p>
    <w:p w14:paraId="620F114D">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（二）家庭成员共享保额</w:t>
      </w:r>
    </w:p>
    <w:p w14:paraId="0EEB5586">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指家庭中所有被保险人共享意外伤害身故、残疾保险金额和意外伤害医疗保险金额、意外伤害住院津贴保险金额。保险人对家庭所有被保险人在意外伤害保险责任项下一次或者累计给付的保险金之和不超过各项责任的保险金额。</w:t>
      </w:r>
    </w:p>
    <w:p w14:paraId="36E53370">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当多名被保险人发生保险事故的，保险人按照提交完整保险金申请资料并申请给付保险金的先后顺序依次计算并给付保险金，后续案件在剩余保险金额范围内计算并给付保险金。</w:t>
      </w:r>
    </w:p>
    <w:p w14:paraId="6CD98E73">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当多名被保险人发生保险事故且同时提交完整保险金申请资料并申请给付保险金的，保险人按单独提交保险金申请资料的情况分别计算每人应给付金额。若多名被保险人的应给付金额之和大于家庭保险金额与既往已给付金额之差的，保险人按下述公式计算每人实际给付金额：（该被保险人应给付金额÷多名被保险人应给付金额之和）×（各项责任保险金额-既往已给付金额）。</w:t>
      </w:r>
    </w:p>
    <w:p w14:paraId="1B9737ED">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任何情况下，保险人不对保险金在被保险人、受益人之间的分配争议承担责任。</w:t>
      </w:r>
    </w:p>
    <w:p w14:paraId="2426E96A">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（三）家庭成员独享保额</w:t>
      </w:r>
    </w:p>
    <w:p w14:paraId="5790C503">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家庭中每一被保险人的意外伤害身故、残疾保险金额和意外伤害医疗保险金额、意外伤害住院津贴保险金额各自确定，不与其他被保险人均分或共享。</w:t>
      </w:r>
    </w:p>
    <w:p w14:paraId="4B880E2E">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（四）上述三种方式组合</w:t>
      </w:r>
    </w:p>
    <w:p w14:paraId="07D33EF4">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家庭中部分被保险人独享保额，其余被保险人均分或共享剩余保额。</w:t>
      </w:r>
    </w:p>
    <w:p w14:paraId="368B0F01">
      <w:pPr>
        <w:pStyle w:val="6"/>
        <w:keepNext w:val="0"/>
        <w:keepLines w:val="0"/>
        <w:widowControl/>
        <w:suppressLineNumbers w:val="0"/>
        <w:spacing w:before="0" w:beforeAutospacing="0" w:after="120"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投保人应该按照合同约定向保险人交纳保险费。</w:t>
      </w:r>
    </w:p>
    <w:p w14:paraId="2B7F8E25">
      <w:pPr>
        <w:pStyle w:val="6"/>
        <w:keepNext w:val="0"/>
        <w:keepLines w:val="0"/>
        <w:widowControl/>
        <w:suppressLineNumbers w:val="0"/>
        <w:spacing w:before="0" w:beforeAutospacing="0" w:after="156" w:afterAutospacing="0" w:line="242" w:lineRule="atLeast"/>
        <w:ind w:left="0" w:right="0" w:firstLine="0"/>
        <w:jc w:val="center"/>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保险期间</w:t>
      </w:r>
    </w:p>
    <w:p w14:paraId="2F3CBE47">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第九条 </w:t>
      </w:r>
      <w:r>
        <w:rPr>
          <w:rFonts w:hint="eastAsia" w:ascii="宋体" w:hAnsi="宋体" w:eastAsia="宋体" w:cs="宋体"/>
          <w:i w:val="0"/>
          <w:iCs w:val="0"/>
          <w:caps w:val="0"/>
          <w:color w:val="000000"/>
          <w:spacing w:val="0"/>
          <w:sz w:val="21"/>
          <w:szCs w:val="21"/>
        </w:rPr>
        <w:t>本保险合同保险期间以保险人和投保人协商确定，以保险单载明的起讫时间为准。</w:t>
      </w:r>
    </w:p>
    <w:p w14:paraId="491DA119">
      <w:pPr>
        <w:pStyle w:val="6"/>
        <w:keepNext w:val="0"/>
        <w:keepLines w:val="0"/>
        <w:widowControl/>
        <w:suppressLineNumbers w:val="0"/>
        <w:spacing w:before="0" w:beforeAutospacing="0" w:after="156" w:afterAutospacing="0" w:line="242" w:lineRule="atLeast"/>
        <w:ind w:left="0" w:right="0" w:firstLine="0"/>
        <w:jc w:val="center"/>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保险人义务</w:t>
      </w:r>
    </w:p>
    <w:p w14:paraId="60B142E5">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第十条 </w:t>
      </w:r>
      <w:r>
        <w:rPr>
          <w:rFonts w:hint="eastAsia" w:ascii="宋体" w:hAnsi="宋体" w:eastAsia="宋体" w:cs="宋体"/>
          <w:i w:val="0"/>
          <w:iCs w:val="0"/>
          <w:caps w:val="0"/>
          <w:color w:val="000000"/>
          <w:spacing w:val="0"/>
          <w:sz w:val="21"/>
          <w:szCs w:val="21"/>
        </w:rPr>
        <w:t>本保险合同成立后，保险人应当及时向投保人签发保险单或其他保险凭证。</w:t>
      </w:r>
    </w:p>
    <w:p w14:paraId="47F7E628">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第十一条 </w:t>
      </w:r>
      <w:r>
        <w:rPr>
          <w:rFonts w:hint="eastAsia" w:ascii="宋体" w:hAnsi="宋体" w:eastAsia="宋体" w:cs="宋体"/>
          <w:i w:val="0"/>
          <w:iCs w:val="0"/>
          <w:caps w:val="0"/>
          <w:color w:val="000000"/>
          <w:spacing w:val="0"/>
          <w:sz w:val="21"/>
          <w:szCs w:val="21"/>
        </w:rPr>
        <w:t>保险人按照第二十条的约定，认为被保险人提供的有关索赔的证明和资料不完整的，应当及时一次性通知投保人、被保险人补充提供。</w:t>
      </w:r>
    </w:p>
    <w:p w14:paraId="67615A81">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第十二条 </w:t>
      </w:r>
      <w:r>
        <w:rPr>
          <w:rFonts w:hint="eastAsia" w:ascii="宋体" w:hAnsi="宋体" w:eastAsia="宋体" w:cs="宋体"/>
          <w:i w:val="0"/>
          <w:iCs w:val="0"/>
          <w:caps w:val="0"/>
          <w:color w:val="000000"/>
          <w:spacing w:val="0"/>
          <w:sz w:val="21"/>
          <w:szCs w:val="21"/>
        </w:rPr>
        <w:t>保险人收到被保险人的给付保险金的请求后，应当及时作出核定。情形复杂的，保险人应当在三十日内作出核定。</w:t>
      </w:r>
    </w:p>
    <w:p w14:paraId="142D4B77">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对属于保险责任的，在与被保险人达成给付保险金的协议后十日内，履行赔偿保险金义务。保险合同对给付保险金的期限有约定的，保险人应当按照约定履行给付保险金的义务。</w:t>
      </w:r>
    </w:p>
    <w:p w14:paraId="3BBB9DFF">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保险人依照前款约定作出核定后，对不属于保险责任的，应当自作出核定之日起三日内向被保险人发出拒绝给付保险金通知书，并说明理由。</w:t>
      </w:r>
    </w:p>
    <w:p w14:paraId="589BB0AC">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第十三条 </w:t>
      </w:r>
      <w:r>
        <w:rPr>
          <w:rFonts w:hint="eastAsia" w:ascii="宋体" w:hAnsi="宋体" w:eastAsia="宋体" w:cs="宋体"/>
          <w:i w:val="0"/>
          <w:iCs w:val="0"/>
          <w:caps w:val="0"/>
          <w:color w:val="000000"/>
          <w:spacing w:val="0"/>
          <w:sz w:val="21"/>
          <w:szCs w:val="21"/>
        </w:rPr>
        <w:t>保险人自收到给付保险金的请求和有关证明、资料之日起六十日内，对其给付的数额不能确定的，应当根据已有证明和资料可以确定的数额先予支付；保险人最终确定给付的数额后，应当支付相应的差额。</w:t>
      </w:r>
    </w:p>
    <w:p w14:paraId="3E165988">
      <w:pPr>
        <w:pStyle w:val="6"/>
        <w:keepNext w:val="0"/>
        <w:keepLines w:val="0"/>
        <w:widowControl/>
        <w:suppressLineNumbers w:val="0"/>
        <w:spacing w:before="0" w:beforeAutospacing="0" w:after="156" w:afterAutospacing="0" w:line="242" w:lineRule="atLeast"/>
        <w:ind w:left="0" w:right="0" w:firstLine="0"/>
        <w:jc w:val="center"/>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投保人、被保险人义务</w:t>
      </w:r>
    </w:p>
    <w:p w14:paraId="72AC2B90">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第十四条 </w:t>
      </w:r>
      <w:r>
        <w:rPr>
          <w:rFonts w:hint="eastAsia" w:ascii="宋体" w:hAnsi="宋体" w:eastAsia="宋体" w:cs="宋体"/>
          <w:b w:val="0"/>
          <w:bCs w:val="0"/>
          <w:i w:val="0"/>
          <w:iCs w:val="0"/>
          <w:caps w:val="0"/>
          <w:color w:val="000000"/>
          <w:spacing w:val="0"/>
          <w:sz w:val="21"/>
          <w:szCs w:val="21"/>
        </w:rPr>
        <w:t>除另有约定外，投保人应当在保险合同成立时交清保险费。</w:t>
      </w:r>
    </w:p>
    <w:p w14:paraId="1BD8C331">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第十五条 </w:t>
      </w:r>
      <w:r>
        <w:rPr>
          <w:rFonts w:hint="eastAsia" w:ascii="宋体" w:hAnsi="宋体" w:eastAsia="宋体" w:cs="宋体"/>
          <w:b w:val="0"/>
          <w:bCs w:val="0"/>
          <w:i w:val="0"/>
          <w:iCs w:val="0"/>
          <w:caps w:val="0"/>
          <w:color w:val="000000"/>
          <w:spacing w:val="0"/>
          <w:sz w:val="21"/>
          <w:szCs w:val="21"/>
        </w:rPr>
        <w:t>订立保险合同，保险人就被保险人的有关情况提出询问的，投保人应当如实告知。</w:t>
      </w:r>
    </w:p>
    <w:p w14:paraId="7788806E">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投保人故意或者因重大过失未履行前款规定的义务，足以影响保险人决定是否同意承保或者提高保险费率的，保险人有权解除本保险合同。</w:t>
      </w:r>
    </w:p>
    <w:p w14:paraId="5E4A722A">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前款规定的合同解除权，自保险人知道有解除事由之日起，超过三十日不行使而消灭。</w:t>
      </w:r>
    </w:p>
    <w:p w14:paraId="0D921F58">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投保人故意不履行如实告知义务的，保险人对于合同解除前发生的保险事故，不承担给付保险金责任，并不退还保险费。</w:t>
      </w:r>
    </w:p>
    <w:p w14:paraId="435DB70E">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投保人因重大过失未履行如实告知义务，对保险事故的发生有严重影响的，保险人对于合同解除前发生的保险事故，不承担给付保险金责任，但应当退还保险费。</w:t>
      </w:r>
    </w:p>
    <w:p w14:paraId="32570A4D">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保险人在合同订立时已经知道投保人未如实告知的情况的，保险人不得解除合同；发生保险事故的，保险人应当承担给付保险金责任。</w:t>
      </w:r>
    </w:p>
    <w:p w14:paraId="58B6BC25">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第十六条 </w:t>
      </w:r>
      <w:r>
        <w:rPr>
          <w:rFonts w:hint="eastAsia" w:ascii="宋体" w:hAnsi="宋体" w:eastAsia="宋体" w:cs="宋体"/>
          <w:b w:val="0"/>
          <w:bCs w:val="0"/>
          <w:i w:val="0"/>
          <w:iCs w:val="0"/>
          <w:caps w:val="0"/>
          <w:color w:val="000000"/>
          <w:spacing w:val="0"/>
          <w:sz w:val="21"/>
          <w:szCs w:val="21"/>
        </w:rPr>
        <w:t>被保险人变更职业或工种时，投保人或被保险人应在10日内以书面形式通知保险人。</w:t>
      </w:r>
    </w:p>
    <w:p w14:paraId="60A06712">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被保险人所变更的职业或工种依照保险人职业分类在拒保范围内的，保险人在接到通知后有权解除本保险合同并按照接到通知之日退还原职业或工种所对应的未满期保费。被保险人所变更的职业或工种依照保险人职业分类仍可承保的或在拒保范围内但保险人认定可以继续承保的，保险人按照接到通知之日计算并退还原职业或工种所对应的未满期保费，投保人补交按照保险人接到通知之日计算的新职业或工种所对应的未满期保费。</w:t>
      </w:r>
    </w:p>
    <w:p w14:paraId="377EFADA">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被保险人所变更的职业或工种，依照保险人职业分类其危险性增加，且未依本条约定通知保险人而发生保险事故的，保险人按其原交保险费与新职业或工种所对应的保险费的比例计算并给付保险金。被保险人所变更的职业或工种依照保险人职业分类在拒保范围内，保险人不承担给付保险金的责任。</w:t>
      </w:r>
    </w:p>
    <w:p w14:paraId="578945DB">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第十七条 </w:t>
      </w:r>
      <w:r>
        <w:rPr>
          <w:rFonts w:hint="eastAsia" w:ascii="宋体" w:hAnsi="宋体" w:eastAsia="宋体" w:cs="宋体"/>
          <w:b w:val="0"/>
          <w:bCs w:val="0"/>
          <w:i w:val="0"/>
          <w:iCs w:val="0"/>
          <w:caps w:val="0"/>
          <w:color w:val="000000"/>
          <w:spacing w:val="0"/>
          <w:sz w:val="21"/>
          <w:szCs w:val="21"/>
        </w:rPr>
        <w:t>投保人住所或通讯地址变更时，应及时以书面形式通知保险人。投保人未通知的，保险人按本保险合同所载的最后住所或通讯地址发送的有关通知，均视为已发送给投保人。</w:t>
      </w:r>
    </w:p>
    <w:p w14:paraId="095AD58F">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第十八条 </w:t>
      </w:r>
      <w:r>
        <w:rPr>
          <w:rFonts w:hint="eastAsia" w:ascii="宋体" w:hAnsi="宋体" w:eastAsia="宋体" w:cs="宋体"/>
          <w:b w:val="0"/>
          <w:bCs w:val="0"/>
          <w:i w:val="0"/>
          <w:iCs w:val="0"/>
          <w:caps w:val="0"/>
          <w:color w:val="000000"/>
          <w:spacing w:val="0"/>
          <w:sz w:val="21"/>
          <w:szCs w:val="21"/>
        </w:rPr>
        <w:t>投保人、被保险人或者保险金受益人知道保险事故发生后，应当及时通知保险人。</w:t>
      </w:r>
      <w:r>
        <w:rPr>
          <w:rFonts w:hint="eastAsia" w:ascii="宋体" w:hAnsi="宋体" w:eastAsia="宋体" w:cs="宋体"/>
          <w:b/>
          <w:bCs/>
          <w:i w:val="0"/>
          <w:iCs w:val="0"/>
          <w:caps w:val="0"/>
          <w:color w:val="000000"/>
          <w:spacing w:val="0"/>
          <w:sz w:val="21"/>
          <w:szCs w:val="21"/>
        </w:rPr>
        <w:t>故意或者因重大过失未及时通知，致使保险事故的性质、原因、损失程度等难以确定的，保险人对无法确定的部分，不承担给付保险金责任</w:t>
      </w:r>
      <w:r>
        <w:rPr>
          <w:rFonts w:hint="eastAsia" w:ascii="宋体" w:hAnsi="宋体" w:eastAsia="宋体" w:cs="宋体"/>
          <w:b w:val="0"/>
          <w:bCs w:val="0"/>
          <w:i w:val="0"/>
          <w:iCs w:val="0"/>
          <w:caps w:val="0"/>
          <w:color w:val="000000"/>
          <w:spacing w:val="0"/>
          <w:sz w:val="21"/>
          <w:szCs w:val="21"/>
        </w:rPr>
        <w:t>，但保险人通过其他途径已经及时知道或者应当及时知道保险事故发生的除外。</w:t>
      </w:r>
    </w:p>
    <w:p w14:paraId="7723C8B0">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上述约定，不包括因不可抗力而导致的迟延。</w:t>
      </w:r>
    </w:p>
    <w:p w14:paraId="7776BEBD">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第十九条  </w:t>
      </w:r>
      <w:r>
        <w:rPr>
          <w:rFonts w:hint="eastAsia" w:ascii="宋体" w:hAnsi="宋体" w:eastAsia="宋体" w:cs="宋体"/>
          <w:i w:val="0"/>
          <w:iCs w:val="0"/>
          <w:caps w:val="0"/>
          <w:color w:val="000000"/>
          <w:spacing w:val="0"/>
          <w:sz w:val="21"/>
          <w:szCs w:val="21"/>
        </w:rPr>
        <w:t>保险事故发生后，被保险人需要治疗的，应在释义医院就诊，若因急诊未在释义医院就诊的，应在三日内通知保险人，并根据病情及时转入释义医院。若确需转入非释义医院就诊的，应向保险人提出书面申请，保险人在接到申请后三日内给予答复，对于保险人同意在非释义医院就诊的，对这期间发生的医疗费用按本保险合同规定给付保险金。</w:t>
      </w:r>
    </w:p>
    <w:p w14:paraId="1B37F87F">
      <w:pPr>
        <w:pStyle w:val="6"/>
        <w:keepNext w:val="0"/>
        <w:keepLines w:val="0"/>
        <w:widowControl/>
        <w:suppressLineNumbers w:val="0"/>
        <w:spacing w:before="0" w:beforeAutospacing="0" w:after="156" w:afterAutospacing="0" w:line="242" w:lineRule="atLeast"/>
        <w:ind w:left="0" w:right="0" w:firstLine="0"/>
        <w:jc w:val="center"/>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保险金申请与给付</w:t>
      </w:r>
    </w:p>
    <w:p w14:paraId="04DED35E">
      <w:pPr>
        <w:pStyle w:val="6"/>
        <w:keepNext w:val="0"/>
        <w:keepLines w:val="0"/>
        <w:widowControl/>
        <w:suppressLineNumbers w:val="0"/>
        <w:spacing w:before="0" w:beforeAutospacing="0" w:after="156" w:afterAutospacing="0" w:line="242" w:lineRule="atLeast"/>
        <w:ind w:left="0" w:right="0" w:firstLine="414"/>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第二十条 </w:t>
      </w:r>
      <w:r>
        <w:rPr>
          <w:rFonts w:hint="eastAsia" w:ascii="宋体" w:hAnsi="宋体" w:eastAsia="宋体" w:cs="宋体"/>
          <w:b w:val="0"/>
          <w:bCs w:val="0"/>
          <w:i w:val="0"/>
          <w:iCs w:val="0"/>
          <w:caps w:val="0"/>
          <w:color w:val="000000"/>
          <w:spacing w:val="0"/>
          <w:sz w:val="21"/>
          <w:szCs w:val="21"/>
        </w:rPr>
        <w:t>保险金申请人向保险人申请给付保险金时，应提交以下材料。保险金申请人因特殊原因不能提供以下材料的，应提供其他合法有效的材料。</w:t>
      </w:r>
      <w:r>
        <w:rPr>
          <w:rFonts w:hint="eastAsia" w:ascii="宋体" w:hAnsi="宋体" w:eastAsia="宋体" w:cs="宋体"/>
          <w:b/>
          <w:bCs/>
          <w:i w:val="0"/>
          <w:iCs w:val="0"/>
          <w:caps w:val="0"/>
          <w:color w:val="000000"/>
          <w:spacing w:val="0"/>
          <w:sz w:val="21"/>
          <w:szCs w:val="21"/>
        </w:rPr>
        <w:t>保险金申请人未能提供有关材料，导致保险人无法核实该申请的真实性的，保险人对无法核实部分不承担给付保险金的责任。</w:t>
      </w:r>
    </w:p>
    <w:p w14:paraId="3BA55076">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（一）意外身故保险金申请</w:t>
      </w:r>
    </w:p>
    <w:p w14:paraId="3E1BEA95">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1．保险金给付申请书；</w:t>
      </w:r>
    </w:p>
    <w:p w14:paraId="754D64EA">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2．保险单原件或其他保险凭证；</w:t>
      </w:r>
    </w:p>
    <w:p w14:paraId="1ABAE9B6">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3．保险金申请人的身份证明；</w:t>
      </w:r>
    </w:p>
    <w:p w14:paraId="047EB36C">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4．公安部门或医疗机构出具的被保险人死亡证明书。若被保险人为宣告死亡，保险金申请人应提供人民法院出具的宣告死亡证明文件；</w:t>
      </w:r>
    </w:p>
    <w:p w14:paraId="59AB9A46">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5．被保险人的户籍注销证明；</w:t>
      </w:r>
    </w:p>
    <w:p w14:paraId="67C5AD47">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6．保险金申请人所能提供的与确认保险事故的性质、原因、损失程度等有关的其他证明和资料；</w:t>
      </w:r>
    </w:p>
    <w:p w14:paraId="4602C190">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7．若保险金申请人委托他人申请的，还应提供授权委托书原件、委托人和受托人的身份证明等相关证明文件。</w:t>
      </w:r>
    </w:p>
    <w:p w14:paraId="35E593DC">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（二）意外残疾保险金申请</w:t>
      </w:r>
    </w:p>
    <w:p w14:paraId="73D7323D">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1．保险金给付申请书；</w:t>
      </w:r>
    </w:p>
    <w:p w14:paraId="06D19456">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2．保险单原件或其他保险凭证；</w:t>
      </w:r>
    </w:p>
    <w:p w14:paraId="440C4459">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3．被保险人身份证明；</w:t>
      </w:r>
    </w:p>
    <w:p w14:paraId="00A1A0C5">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4．二级以上（含二级）或保险人认可的医疗机构或司法鉴定机构出具的残疾鉴定诊断书；</w:t>
      </w:r>
    </w:p>
    <w:p w14:paraId="1C4A9F48">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5．保险金申请人所能提供的与确认保险事故的性质、原因、损失程度等有关的其他证明和资料；</w:t>
      </w:r>
    </w:p>
    <w:p w14:paraId="23BCA456">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6．若保险金申请人委托他人申请的，还应提供授权委托书原件、委托人和受托人的身份证明等相关证明文件。</w:t>
      </w:r>
    </w:p>
    <w:p w14:paraId="529EE8CA">
      <w:pPr>
        <w:pStyle w:val="6"/>
        <w:keepNext w:val="0"/>
        <w:keepLines w:val="0"/>
        <w:widowControl/>
        <w:suppressLineNumbers w:val="0"/>
        <w:spacing w:before="0" w:beforeAutospacing="0" w:after="156" w:afterAutospacing="0" w:line="242" w:lineRule="atLeast"/>
        <w:ind w:left="0" w:right="0" w:firstLine="424"/>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（三）意外伤害医疗保险金、意外伤害住院津贴保险金的申请</w:t>
      </w:r>
    </w:p>
    <w:p w14:paraId="550F9353">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1．保险金给付申请书；</w:t>
      </w:r>
    </w:p>
    <w:p w14:paraId="66FF61DD">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2．保险单原件或其他保险凭证；</w:t>
      </w:r>
    </w:p>
    <w:p w14:paraId="6D1DEE97">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3．被保险人身份证明；</w:t>
      </w:r>
    </w:p>
    <w:p w14:paraId="40C3B8E4">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4．释义医院出具的疾病诊断证明书、处方、病历、出院小结及医疗费原始收据；</w:t>
      </w:r>
    </w:p>
    <w:p w14:paraId="2228BDC6">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5．保险金申请人所能提供的与确认保险事故的性质、原因、损失程度等有关的其他证明和资料；</w:t>
      </w:r>
    </w:p>
    <w:p w14:paraId="783F8A6C">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6．若保险金申请人委托他人申请的，还应提供授权委托书原件、委托人和受托人的身份证明等相关证明文件。</w:t>
      </w:r>
    </w:p>
    <w:p w14:paraId="2560FD15">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第二十一条 </w:t>
      </w:r>
      <w:r>
        <w:rPr>
          <w:rFonts w:hint="eastAsia" w:ascii="宋体" w:hAnsi="宋体" w:eastAsia="宋体" w:cs="宋体"/>
          <w:i w:val="0"/>
          <w:iCs w:val="0"/>
          <w:caps w:val="0"/>
          <w:color w:val="000000"/>
          <w:spacing w:val="0"/>
          <w:sz w:val="21"/>
          <w:szCs w:val="21"/>
        </w:rPr>
        <w:t>保险金申请人向保险人请求给付保险金的诉讼时效期间为二年，自其知道或者应当知道保险事故发生之日起计算。</w:t>
      </w:r>
    </w:p>
    <w:p w14:paraId="37593C39">
      <w:pPr>
        <w:pStyle w:val="6"/>
        <w:keepNext w:val="0"/>
        <w:keepLines w:val="0"/>
        <w:widowControl/>
        <w:suppressLineNumbers w:val="0"/>
        <w:spacing w:before="0" w:beforeAutospacing="0" w:after="156" w:afterAutospacing="0" w:line="242" w:lineRule="atLeast"/>
        <w:ind w:left="0" w:right="0" w:firstLine="0"/>
        <w:jc w:val="center"/>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争议处理和法律适用</w:t>
      </w:r>
    </w:p>
    <w:p w14:paraId="090321E2">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第二十二条</w:t>
      </w:r>
      <w:r>
        <w:rPr>
          <w:rFonts w:hint="eastAsia" w:ascii="宋体" w:hAnsi="宋体" w:eastAsia="宋体" w:cs="宋体"/>
          <w:i w:val="0"/>
          <w:iCs w:val="0"/>
          <w:caps w:val="0"/>
          <w:color w:val="000000"/>
          <w:spacing w:val="0"/>
          <w:sz w:val="21"/>
          <w:szCs w:val="21"/>
        </w:rPr>
        <w:t> 因履行本保险合同发生的争议，由当事人协商解决。协商不成的，提交保险单载明的仲裁机构仲裁；保险单未载明仲裁机构或者争议发生后未达成仲裁协议的，依法向人民法院起诉。</w:t>
      </w:r>
    </w:p>
    <w:p w14:paraId="1D39E8F0">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第二十三条</w:t>
      </w:r>
      <w:r>
        <w:rPr>
          <w:rFonts w:hint="eastAsia" w:ascii="宋体" w:hAnsi="宋体" w:eastAsia="宋体" w:cs="宋体"/>
          <w:i w:val="0"/>
          <w:iCs w:val="0"/>
          <w:caps w:val="0"/>
          <w:color w:val="000000"/>
          <w:spacing w:val="0"/>
          <w:sz w:val="21"/>
          <w:szCs w:val="21"/>
        </w:rPr>
        <w:t> 与本保险合同有关的以及履行本保险合同产生的一切争议处理适用中华人民共和国法律（不包括港澳台地区法律）。</w:t>
      </w:r>
    </w:p>
    <w:p w14:paraId="3DE9503E">
      <w:pPr>
        <w:pStyle w:val="6"/>
        <w:keepNext w:val="0"/>
        <w:keepLines w:val="0"/>
        <w:widowControl/>
        <w:suppressLineNumbers w:val="0"/>
        <w:spacing w:before="0" w:beforeAutospacing="0" w:after="156" w:afterAutospacing="0" w:line="242" w:lineRule="atLeast"/>
        <w:ind w:left="0" w:right="0" w:firstLine="0"/>
        <w:jc w:val="center"/>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其他事项</w:t>
      </w:r>
    </w:p>
    <w:p w14:paraId="5FDE105A">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第二十四条</w:t>
      </w:r>
      <w:r>
        <w:rPr>
          <w:rFonts w:hint="eastAsia" w:ascii="宋体" w:hAnsi="宋体" w:eastAsia="宋体" w:cs="宋体"/>
          <w:i w:val="0"/>
          <w:iCs w:val="0"/>
          <w:caps w:val="0"/>
          <w:color w:val="000000"/>
          <w:spacing w:val="0"/>
          <w:sz w:val="21"/>
          <w:szCs w:val="21"/>
        </w:rPr>
        <w:t>  投保人和保险人可以协商变更合同内容。</w:t>
      </w:r>
    </w:p>
    <w:p w14:paraId="0E444850">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变更保险合同的，应当由保险人在保险单或者其他保险凭证上批注或附贴批单，或者投保人和保险人订立变更的书面协议。</w:t>
      </w:r>
    </w:p>
    <w:p w14:paraId="509DD7A2">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第二十五条</w:t>
      </w:r>
      <w:r>
        <w:rPr>
          <w:rFonts w:hint="eastAsia" w:ascii="宋体" w:hAnsi="宋体" w:eastAsia="宋体" w:cs="宋体"/>
          <w:i w:val="0"/>
          <w:iCs w:val="0"/>
          <w:caps w:val="0"/>
          <w:color w:val="000000"/>
          <w:spacing w:val="0"/>
          <w:sz w:val="21"/>
          <w:szCs w:val="21"/>
        </w:rPr>
        <w:t>  在本保险合同成立后，投保人可以书面形式通知保险人解除合同，但保险人已根据本保险合同约定给付保险金的除外。</w:t>
      </w:r>
    </w:p>
    <w:p w14:paraId="39DC842A">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投保人解除本保险合同时，应提供下列证明文件和资料：</w:t>
      </w:r>
    </w:p>
    <w:p w14:paraId="3834F797">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（一）保险合同解除申请书；</w:t>
      </w:r>
    </w:p>
    <w:p w14:paraId="5022D411">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（二）保险单原件；</w:t>
      </w:r>
    </w:p>
    <w:p w14:paraId="489E0528">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（三）保险费交付凭证；</w:t>
      </w:r>
    </w:p>
    <w:p w14:paraId="7F58C49F">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（四）投保人身份证明。</w:t>
      </w:r>
    </w:p>
    <w:p w14:paraId="6AD40361">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投保人要求解除本保险合同，自保险人接到保险合同解除申请书之时起，本保险合同的效力终止。保险责任开始前，投保人要求解除合同的，应该按照合同约定向保险人支付相当于保险费0%的手续费，保险人应该退还保险费；保险责任开始后，投保人要求解除合同的，按照合同约定扣除自保险责任开始之日起至合同解除之日止应收的部分后，退还未满期保费。</w:t>
      </w:r>
    </w:p>
    <w:p w14:paraId="65973EA3">
      <w:pPr>
        <w:pStyle w:val="6"/>
        <w:keepNext w:val="0"/>
        <w:keepLines w:val="0"/>
        <w:widowControl/>
        <w:suppressLineNumbers w:val="0"/>
        <w:spacing w:before="0" w:beforeAutospacing="0" w:after="156" w:afterAutospacing="0" w:line="242" w:lineRule="atLeast"/>
        <w:ind w:left="0" w:right="0" w:firstLine="424"/>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第二十六条</w:t>
      </w:r>
      <w:r>
        <w:rPr>
          <w:rFonts w:hint="eastAsia" w:ascii="宋体" w:hAnsi="宋体" w:eastAsia="宋体" w:cs="宋体"/>
          <w:i w:val="0"/>
          <w:iCs w:val="0"/>
          <w:caps w:val="0"/>
          <w:color w:val="000000"/>
          <w:spacing w:val="0"/>
          <w:sz w:val="21"/>
          <w:szCs w:val="21"/>
        </w:rPr>
        <w:t> 被保险人如为境外就医，本项保险责任中的医疗费用按照被保险人在国内的保险单签发地相同治疗的平均水平折算。</w:t>
      </w:r>
    </w:p>
    <w:p w14:paraId="38B6B87C">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本保险合同涉及的外币与人民币的汇率，以结算当日中华人民共和国中国人民银行公布的外汇汇率为准。</w:t>
      </w:r>
    </w:p>
    <w:p w14:paraId="788D4737">
      <w:pPr>
        <w:pStyle w:val="6"/>
        <w:keepNext w:val="0"/>
        <w:keepLines w:val="0"/>
        <w:widowControl/>
        <w:suppressLineNumbers w:val="0"/>
        <w:spacing w:before="0" w:beforeAutospacing="0" w:after="156" w:afterAutospacing="0" w:line="242" w:lineRule="atLeast"/>
        <w:ind w:left="0" w:right="0" w:firstLine="840"/>
        <w:jc w:val="center"/>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释义</w:t>
      </w:r>
    </w:p>
    <w:p w14:paraId="77B0B927">
      <w:pPr>
        <w:pStyle w:val="6"/>
        <w:keepNext w:val="0"/>
        <w:keepLines w:val="0"/>
        <w:widowControl/>
        <w:suppressLineNumbers w:val="0"/>
        <w:spacing w:before="0" w:beforeAutospacing="0" w:after="156" w:afterAutospacing="0" w:line="242" w:lineRule="atLeast"/>
        <w:ind w:left="0" w:right="0" w:firstLine="414"/>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第二十七条</w:t>
      </w:r>
    </w:p>
    <w:p w14:paraId="7386F61E">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w:t>
      </w:r>
      <w:r>
        <w:rPr>
          <w:rFonts w:hint="eastAsia" w:ascii="宋体" w:hAnsi="宋体" w:eastAsia="宋体" w:cs="宋体"/>
          <w:b/>
          <w:bCs/>
          <w:i w:val="0"/>
          <w:iCs w:val="0"/>
          <w:caps w:val="0"/>
          <w:color w:val="000000"/>
          <w:spacing w:val="0"/>
          <w:sz w:val="21"/>
          <w:szCs w:val="21"/>
        </w:rPr>
        <w:t>保险人</w:t>
      </w:r>
      <w:r>
        <w:rPr>
          <w:rFonts w:hint="eastAsia" w:ascii="宋体" w:hAnsi="宋体" w:eastAsia="宋体" w:cs="宋体"/>
          <w:i w:val="0"/>
          <w:iCs w:val="0"/>
          <w:caps w:val="0"/>
          <w:color w:val="000000"/>
          <w:spacing w:val="0"/>
          <w:sz w:val="21"/>
          <w:szCs w:val="21"/>
        </w:rPr>
        <w:t>】指与投保人签订本保险合同的</w:t>
      </w:r>
      <w:r>
        <w:rPr>
          <w:rFonts w:hint="eastAsia" w:ascii="宋体" w:hAnsi="宋体" w:eastAsia="宋体" w:cs="宋体"/>
          <w:i w:val="0"/>
          <w:iCs w:val="0"/>
          <w:caps/>
          <w:color w:val="000000"/>
          <w:spacing w:val="0"/>
          <w:sz w:val="21"/>
          <w:szCs w:val="21"/>
        </w:rPr>
        <w:t>紫金财产保险股份有限公司</w:t>
      </w:r>
      <w:r>
        <w:rPr>
          <w:rFonts w:hint="eastAsia" w:ascii="宋体" w:hAnsi="宋体" w:eastAsia="宋体" w:cs="宋体"/>
          <w:i w:val="0"/>
          <w:iCs w:val="0"/>
          <w:caps w:val="0"/>
          <w:color w:val="000000"/>
          <w:spacing w:val="0"/>
          <w:sz w:val="21"/>
          <w:szCs w:val="21"/>
        </w:rPr>
        <w:t>。</w:t>
      </w:r>
    </w:p>
    <w:p w14:paraId="38568EE6">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【意外伤害】</w:t>
      </w:r>
      <w:r>
        <w:rPr>
          <w:rFonts w:hint="eastAsia" w:ascii="宋体" w:hAnsi="宋体" w:eastAsia="宋体" w:cs="宋体"/>
          <w:b w:val="0"/>
          <w:bCs w:val="0"/>
          <w:i w:val="0"/>
          <w:iCs w:val="0"/>
          <w:caps w:val="0"/>
          <w:color w:val="000000"/>
          <w:spacing w:val="0"/>
          <w:sz w:val="21"/>
          <w:szCs w:val="21"/>
        </w:rPr>
        <w:t>指以外来的、突发的、非本意的和非疾病的客观事件为直接且单独的原因致使身体受到的伤害。</w:t>
      </w:r>
      <w:r>
        <w:rPr>
          <w:rFonts w:hint="eastAsia" w:ascii="宋体" w:hAnsi="宋体" w:eastAsia="宋体" w:cs="宋体"/>
          <w:b/>
          <w:bCs/>
          <w:i w:val="0"/>
          <w:iCs w:val="0"/>
          <w:caps w:val="0"/>
          <w:color w:val="000000"/>
          <w:spacing w:val="0"/>
          <w:sz w:val="21"/>
          <w:szCs w:val="21"/>
        </w:rPr>
        <w:t>以下情形属于疾病范畴，非本条款所指意外伤害：</w:t>
      </w:r>
    </w:p>
    <w:p w14:paraId="720ABF43">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（1）猝死：指由潜在疾病、身体机能障碍或其他非外来性原因所导致的、在出现急性症状后发生的突然死亡，以医院的诊断或公安、司法机关的鉴定为准；</w:t>
      </w:r>
    </w:p>
    <w:p w14:paraId="01E03979">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（2）过敏及由过敏引发的变态反应性疾病；</w:t>
      </w:r>
    </w:p>
    <w:p w14:paraId="49D128F0">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（3）高原反应；</w:t>
      </w:r>
    </w:p>
    <w:p w14:paraId="5A7D8D36">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（4）中暑；</w:t>
      </w:r>
    </w:p>
    <w:p w14:paraId="03966989">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（5）细菌、病毒或其他病原体导致的感染性疾病。</w:t>
      </w:r>
    </w:p>
    <w:p w14:paraId="0E28BEC6">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【医院】</w:t>
      </w:r>
      <w:r>
        <w:rPr>
          <w:rFonts w:hint="eastAsia" w:ascii="宋体" w:hAnsi="宋体" w:eastAsia="宋体" w:cs="宋体"/>
          <w:i w:val="0"/>
          <w:iCs w:val="0"/>
          <w:caps w:val="0"/>
          <w:color w:val="000000"/>
          <w:spacing w:val="0"/>
          <w:sz w:val="21"/>
          <w:szCs w:val="21"/>
        </w:rPr>
        <w:t>指保险人与投保人约定的定点医院，未约定定点医院的，则指经中华人民共和国卫生部门评审确定的二级或二级以上的公立医院，但不包括主要作为诊所、康复、护理、休养、静养、戒酒、戒毒等或类似的医疗机构。该医院必须具有符合国家有关医院管理规则设置标准的医疗设备，且全天二十四小时有合格医师及护士驻院提供医疗及护理服务。</w:t>
      </w:r>
    </w:p>
    <w:p w14:paraId="2D57E422">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【高风险运动】</w:t>
      </w:r>
      <w:r>
        <w:rPr>
          <w:rFonts w:hint="eastAsia" w:ascii="宋体" w:hAnsi="宋体" w:eastAsia="宋体" w:cs="宋体"/>
          <w:b w:val="0"/>
          <w:bCs w:val="0"/>
          <w:i w:val="0"/>
          <w:iCs w:val="0"/>
          <w:caps w:val="0"/>
          <w:color w:val="000000"/>
          <w:spacing w:val="0"/>
          <w:sz w:val="21"/>
          <w:szCs w:val="21"/>
        </w:rPr>
        <w:t>指潜水、跳伞、热气球运动、滑翔机、滑翔翼、滑翔伞、动力伞、攀岩运动、探险活动、武术比赛、摔跤比赛、特技表演、赛马、赛车及保险单载明的其他运动。</w:t>
      </w:r>
    </w:p>
    <w:p w14:paraId="22FEEECF">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（1）潜水</w:t>
      </w:r>
    </w:p>
    <w:p w14:paraId="0CA95F28">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指以辅助呼吸器材在江、河、湖、海、水库、运河等水域进行的水下运动，但穿着救生衣在水面进行的浮潜活动除外。</w:t>
      </w:r>
    </w:p>
    <w:p w14:paraId="53F8D832">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（2）热气球运动</w:t>
      </w:r>
    </w:p>
    <w:p w14:paraId="000C00FB">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指乘坐热气球升空飞行的体育活动。</w:t>
      </w:r>
    </w:p>
    <w:p w14:paraId="2297C24D">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（3）攀岩运动</w:t>
      </w:r>
    </w:p>
    <w:p w14:paraId="1B0C219D">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指以攀登悬崖、楼宇外墙、人造悬崖、冰崖、冰山等运动。</w:t>
      </w:r>
    </w:p>
    <w:p w14:paraId="46F75F6A">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（4）探险活动</w:t>
      </w:r>
    </w:p>
    <w:p w14:paraId="4D188EB3">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指明知在某种特定的自然条件下有失去生命或使身体受到伤害的危险，而故意使自己置身其中的行为，如江河漂流、非固定路线徒步、徒步穿越沙漠或人迹罕至的原始森林等活动。</w:t>
      </w:r>
    </w:p>
    <w:p w14:paraId="2C11679C">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（5）武术比赛</w:t>
      </w:r>
    </w:p>
    <w:p w14:paraId="25F59045">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指两人或两人以上对抗性柔道、空手道、跆拳道、散打、拳击等各种拳术及各种使用器械的对抗性比赛。</w:t>
      </w:r>
    </w:p>
    <w:p w14:paraId="36955D3A">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val="0"/>
          <w:bCs w:val="0"/>
          <w:i w:val="0"/>
          <w:iCs w:val="0"/>
          <w:caps w:val="0"/>
          <w:color w:val="000000"/>
          <w:spacing w:val="0"/>
          <w:sz w:val="21"/>
          <w:szCs w:val="21"/>
        </w:rPr>
        <w:t>（6）特技</w:t>
      </w:r>
    </w:p>
    <w:p w14:paraId="3C654FD6">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指从事马术、杂技、驯兽等特殊技能。</w:t>
      </w:r>
    </w:p>
    <w:p w14:paraId="10BE93A0">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【酒后驾驶】</w:t>
      </w:r>
      <w:r>
        <w:rPr>
          <w:rFonts w:hint="eastAsia" w:ascii="宋体" w:hAnsi="宋体" w:eastAsia="宋体" w:cs="宋体"/>
          <w:b w:val="0"/>
          <w:bCs w:val="0"/>
          <w:i w:val="0"/>
          <w:iCs w:val="0"/>
          <w:caps w:val="0"/>
          <w:color w:val="000000"/>
          <w:spacing w:val="0"/>
          <w:sz w:val="21"/>
          <w:szCs w:val="21"/>
        </w:rPr>
        <w:t>指经检测或者鉴定，发生事故时车辆驾驶人员每百毫升血液中的酒精含量达到或者超过一定的标准，公安机关交通管理部门依据《道路交通安全法》的规定认定为饮酒后驾驶或者醉酒后驾驶。</w:t>
      </w:r>
    </w:p>
    <w:p w14:paraId="5A83B70B">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【无有效驾驶证】</w:t>
      </w:r>
      <w:r>
        <w:rPr>
          <w:rFonts w:hint="eastAsia" w:ascii="宋体" w:hAnsi="宋体" w:eastAsia="宋体" w:cs="宋体"/>
          <w:b w:val="0"/>
          <w:bCs w:val="0"/>
          <w:i w:val="0"/>
          <w:iCs w:val="0"/>
          <w:caps w:val="0"/>
          <w:color w:val="000000"/>
          <w:spacing w:val="0"/>
          <w:sz w:val="21"/>
          <w:szCs w:val="21"/>
        </w:rPr>
        <w:t>被保险人存在下列情形之一者：</w:t>
      </w:r>
    </w:p>
    <w:p w14:paraId="737381C7">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（1）无驾驶证或驾驶证有效期已届满；</w:t>
      </w:r>
    </w:p>
    <w:p w14:paraId="2ED32E76">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（2）驾驶的机动车与驾驶证载明的准驾车型不符；</w:t>
      </w:r>
    </w:p>
    <w:p w14:paraId="7F606AD2">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（3）实习期内驾驶公共汽车、营运客车或者载有爆炸物品、易燃易爆化学物品、剧毒或者放射性等危险物品的机动车，实习期内驾驶的机动车牵引挂车；</w:t>
      </w:r>
    </w:p>
    <w:p w14:paraId="3350ED9B">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（4）持未按规定审验的驾驶证，以及在暂扣、扣留、吊销、注销驾驶证期间驾驶机动车；</w:t>
      </w:r>
    </w:p>
    <w:p w14:paraId="588228A3">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（5）使用各种专用机械车、特种车的人员无国家有关部门核发的有效操作证，驾驶营业性客车的驾驶人无国家有关部门核发的有效资格证书；</w:t>
      </w:r>
    </w:p>
    <w:p w14:paraId="4C499615">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（6）依照法律法规或公安机关交通管理部门有关规定不允许驾驶机动车的其他情况下驾车。</w:t>
      </w:r>
    </w:p>
    <w:p w14:paraId="431C3002">
      <w:pPr>
        <w:pStyle w:val="6"/>
        <w:keepNext w:val="0"/>
        <w:keepLines w:val="0"/>
        <w:widowControl/>
        <w:suppressLineNumbers w:val="0"/>
        <w:spacing w:before="0" w:beforeAutospacing="0" w:after="156" w:afterAutospacing="0" w:line="242" w:lineRule="atLeast"/>
        <w:ind w:left="0" w:right="0" w:firstLine="41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【无有效行驶证】</w:t>
      </w:r>
      <w:r>
        <w:rPr>
          <w:rFonts w:hint="eastAsia" w:ascii="宋体" w:hAnsi="宋体" w:eastAsia="宋体" w:cs="宋体"/>
          <w:i w:val="0"/>
          <w:iCs w:val="0"/>
          <w:caps w:val="0"/>
          <w:color w:val="000000"/>
          <w:spacing w:val="0"/>
          <w:sz w:val="21"/>
          <w:szCs w:val="21"/>
        </w:rPr>
        <w:t>指下列情形之一：</w:t>
      </w:r>
    </w:p>
    <w:p w14:paraId="2AF1D58C">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（1）机动车被依法注销登记的；</w:t>
      </w:r>
    </w:p>
    <w:p w14:paraId="1A4FEEC1">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（2）无公安机关交通管理部门核发的行驶证、号牌，或临时号牌或临时移动证的机动交通工具；</w:t>
      </w:r>
    </w:p>
    <w:p w14:paraId="2857342E">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（3）未在规定检验期限内进行机动车安全技术检验或检验未通过的机动交通工具。</w:t>
      </w:r>
    </w:p>
    <w:p w14:paraId="1FC1D85B">
      <w:pPr>
        <w:pStyle w:val="6"/>
        <w:keepNext w:val="0"/>
        <w:keepLines w:val="0"/>
        <w:widowControl/>
        <w:suppressLineNumbers w:val="0"/>
        <w:spacing w:before="0" w:beforeAutospacing="0" w:after="156" w:afterAutospacing="0" w:line="242" w:lineRule="atLeast"/>
        <w:ind w:left="0" w:right="0" w:firstLine="41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【未满期保费】</w:t>
      </w:r>
      <w:r>
        <w:rPr>
          <w:rFonts w:hint="eastAsia" w:ascii="宋体" w:hAnsi="宋体" w:eastAsia="宋体" w:cs="宋体"/>
          <w:b w:val="0"/>
          <w:bCs w:val="0"/>
          <w:i w:val="0"/>
          <w:iCs w:val="0"/>
          <w:caps w:val="0"/>
          <w:color w:val="000000"/>
          <w:spacing w:val="0"/>
          <w:sz w:val="21"/>
          <w:szCs w:val="21"/>
        </w:rPr>
        <w:t>未满期保费=保险费×[1-(保险单已经过天数/保险期间天数)]。经过天数不足一天的按一天计算。</w:t>
      </w:r>
    </w:p>
    <w:p w14:paraId="52ABC750">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【保险金申请人】</w:t>
      </w:r>
      <w:r>
        <w:rPr>
          <w:rFonts w:hint="eastAsia" w:ascii="宋体" w:hAnsi="宋体" w:eastAsia="宋体" w:cs="宋体"/>
          <w:i w:val="0"/>
          <w:iCs w:val="0"/>
          <w:caps w:val="0"/>
          <w:color w:val="000000"/>
          <w:spacing w:val="0"/>
          <w:sz w:val="21"/>
          <w:szCs w:val="21"/>
        </w:rPr>
        <w:t>指受益人或被保险人的继承人或依法享有保险金请求权的其他自然人。</w:t>
      </w:r>
    </w:p>
    <w:p w14:paraId="102584F1">
      <w:pPr>
        <w:pStyle w:val="6"/>
        <w:keepNext w:val="0"/>
        <w:keepLines w:val="0"/>
        <w:widowControl/>
        <w:suppressLineNumbers w:val="0"/>
        <w:spacing w:before="0" w:beforeAutospacing="0" w:after="0" w:afterAutospacing="0" w:line="276" w:lineRule="atLeast"/>
        <w:ind w:left="0" w:right="0" w:firstLine="307"/>
        <w:rPr>
          <w:rFonts w:hint="default" w:ascii="Times New Roman" w:hAnsi="Times New Roman" w:cs="Times New Roman"/>
          <w:i w:val="0"/>
          <w:iCs w:val="0"/>
          <w:caps w:val="0"/>
          <w:color w:val="000000"/>
          <w:spacing w:val="0"/>
          <w:sz w:val="24"/>
          <w:szCs w:val="24"/>
        </w:rPr>
      </w:pPr>
      <w:bookmarkStart w:id="0" w:name="_Toc326833559"/>
      <w:bookmarkEnd w:id="0"/>
      <w:bookmarkStart w:id="1" w:name="_Toc326831857"/>
      <w:r>
        <w:rPr>
          <w:rFonts w:hint="eastAsia" w:ascii="宋体" w:hAnsi="宋体" w:eastAsia="宋体" w:cs="宋体"/>
          <w:b/>
          <w:bCs/>
          <w:i w:val="0"/>
          <w:iCs w:val="0"/>
          <w:caps w:val="0"/>
          <w:color w:val="000000"/>
          <w:spacing w:val="0"/>
          <w:sz w:val="24"/>
          <w:szCs w:val="24"/>
        </w:rPr>
        <w:t>【</w:t>
      </w:r>
      <w:bookmarkEnd w:id="1"/>
      <w:r>
        <w:rPr>
          <w:rFonts w:hint="eastAsia" w:ascii="宋体" w:hAnsi="宋体" w:eastAsia="宋体" w:cs="宋体"/>
          <w:b/>
          <w:bCs/>
          <w:i w:val="0"/>
          <w:iCs w:val="0"/>
          <w:caps w:val="0"/>
          <w:color w:val="000000"/>
          <w:spacing w:val="0"/>
          <w:sz w:val="24"/>
          <w:szCs w:val="24"/>
        </w:rPr>
        <w:t>不可抗力】</w:t>
      </w:r>
      <w:r>
        <w:rPr>
          <w:rFonts w:hint="eastAsia" w:ascii="宋体" w:hAnsi="宋体" w:eastAsia="宋体" w:cs="宋体"/>
          <w:i w:val="0"/>
          <w:iCs w:val="0"/>
          <w:caps w:val="0"/>
          <w:color w:val="000000"/>
          <w:spacing w:val="0"/>
          <w:sz w:val="21"/>
          <w:szCs w:val="21"/>
        </w:rPr>
        <w:t>指不能预见、不能避免并不能克服的客观情况。</w:t>
      </w:r>
    </w:p>
    <w:p w14:paraId="7FE7A8BD">
      <w:pPr>
        <w:pStyle w:val="6"/>
        <w:keepNext w:val="0"/>
        <w:keepLines w:val="0"/>
        <w:widowControl/>
        <w:suppressLineNumbers w:val="0"/>
        <w:spacing w:before="0" w:beforeAutospacing="0" w:after="156" w:afterAutospacing="0" w:line="242" w:lineRule="atLeast"/>
        <w:ind w:left="0" w:right="0" w:firstLine="0"/>
        <w:rPr>
          <w:rFonts w:hint="default" w:ascii="Times New Roman" w:hAnsi="Times New Roman" w:cs="Times New Roman"/>
          <w:i w:val="0"/>
          <w:iCs w:val="0"/>
          <w:caps w:val="0"/>
          <w:color w:val="000000"/>
          <w:spacing w:val="0"/>
          <w:sz w:val="21"/>
          <w:szCs w:val="21"/>
        </w:rPr>
      </w:pPr>
      <w:r>
        <w:rPr>
          <w:rFonts w:hint="eastAsia" w:ascii="宋体" w:hAnsi="宋体" w:eastAsia="宋体" w:cs="宋体"/>
          <w:i w:val="0"/>
          <w:iCs w:val="0"/>
          <w:caps w:val="0"/>
          <w:color w:val="000000"/>
          <w:spacing w:val="0"/>
          <w:sz w:val="21"/>
          <w:szCs w:val="21"/>
        </w:rPr>
        <w:t> </w:t>
      </w:r>
    </w:p>
    <w:p w14:paraId="08FB54AE">
      <w:pPr>
        <w:pStyle w:val="6"/>
        <w:keepNext w:val="0"/>
        <w:keepLines w:val="0"/>
        <w:widowControl/>
        <w:suppressLineNumbers w:val="0"/>
        <w:spacing w:before="0" w:beforeAutospacing="0" w:after="156" w:afterAutospacing="0" w:line="242" w:lineRule="atLeast"/>
        <w:ind w:left="0" w:right="0" w:firstLine="422"/>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附录：短期费率表（按年保费百分比计算）</w:t>
      </w:r>
    </w:p>
    <w:tbl>
      <w:tblPr>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687"/>
        <w:gridCol w:w="522"/>
        <w:gridCol w:w="522"/>
        <w:gridCol w:w="523"/>
        <w:gridCol w:w="522"/>
        <w:gridCol w:w="522"/>
        <w:gridCol w:w="523"/>
        <w:gridCol w:w="522"/>
        <w:gridCol w:w="522"/>
        <w:gridCol w:w="523"/>
        <w:gridCol w:w="522"/>
        <w:gridCol w:w="522"/>
        <w:gridCol w:w="523"/>
      </w:tblGrid>
      <w:tr w14:paraId="1B940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435" w:hRule="atLeast"/>
          <w:jc w:val="center"/>
        </w:trPr>
        <w:tc>
          <w:tcPr>
            <w:tcW w:w="1687" w:type="dxa"/>
            <w:tcBorders>
              <w:top w:val="single" w:color="000000" w:sz="8" w:space="0"/>
              <w:left w:val="single" w:color="000000" w:sz="8" w:space="0"/>
              <w:bottom w:val="single" w:color="000000" w:sz="8" w:space="0"/>
              <w:right w:val="single" w:color="000000" w:sz="8" w:space="0"/>
            </w:tcBorders>
            <w:shd w:val="clear"/>
            <w:vAlign w:val="center"/>
          </w:tcPr>
          <w:p w14:paraId="61A5CFB1">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保险期间（月）</w:t>
            </w:r>
          </w:p>
        </w:tc>
        <w:tc>
          <w:tcPr>
            <w:tcW w:w="522" w:type="dxa"/>
            <w:tcBorders>
              <w:top w:val="single" w:color="000000" w:sz="8" w:space="0"/>
              <w:bottom w:val="single" w:color="000000" w:sz="8" w:space="0"/>
              <w:right w:val="single" w:color="000000" w:sz="8" w:space="0"/>
            </w:tcBorders>
            <w:shd w:val="clear"/>
            <w:vAlign w:val="center"/>
          </w:tcPr>
          <w:p w14:paraId="4400CCA8">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1</w:t>
            </w:r>
          </w:p>
        </w:tc>
        <w:tc>
          <w:tcPr>
            <w:tcW w:w="522" w:type="dxa"/>
            <w:tcBorders>
              <w:top w:val="single" w:color="000000" w:sz="8" w:space="0"/>
              <w:bottom w:val="single" w:color="000000" w:sz="8" w:space="0"/>
              <w:right w:val="single" w:color="000000" w:sz="8" w:space="0"/>
            </w:tcBorders>
            <w:shd w:val="clear"/>
            <w:vAlign w:val="center"/>
          </w:tcPr>
          <w:p w14:paraId="6B967D90">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2</w:t>
            </w:r>
          </w:p>
        </w:tc>
        <w:tc>
          <w:tcPr>
            <w:tcW w:w="523" w:type="dxa"/>
            <w:tcBorders>
              <w:top w:val="single" w:color="000000" w:sz="8" w:space="0"/>
              <w:bottom w:val="single" w:color="000000" w:sz="8" w:space="0"/>
              <w:right w:val="single" w:color="000000" w:sz="8" w:space="0"/>
            </w:tcBorders>
            <w:shd w:val="clear"/>
            <w:vAlign w:val="center"/>
          </w:tcPr>
          <w:p w14:paraId="426AA84A">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3</w:t>
            </w:r>
          </w:p>
        </w:tc>
        <w:tc>
          <w:tcPr>
            <w:tcW w:w="522" w:type="dxa"/>
            <w:tcBorders>
              <w:top w:val="single" w:color="000000" w:sz="8" w:space="0"/>
              <w:bottom w:val="single" w:color="000000" w:sz="8" w:space="0"/>
              <w:right w:val="single" w:color="000000" w:sz="8" w:space="0"/>
            </w:tcBorders>
            <w:shd w:val="clear"/>
            <w:vAlign w:val="center"/>
          </w:tcPr>
          <w:p w14:paraId="7812F9F3">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4</w:t>
            </w:r>
          </w:p>
        </w:tc>
        <w:tc>
          <w:tcPr>
            <w:tcW w:w="522" w:type="dxa"/>
            <w:tcBorders>
              <w:top w:val="single" w:color="000000" w:sz="8" w:space="0"/>
              <w:bottom w:val="single" w:color="000000" w:sz="8" w:space="0"/>
              <w:right w:val="single" w:color="000000" w:sz="8" w:space="0"/>
            </w:tcBorders>
            <w:shd w:val="clear"/>
            <w:vAlign w:val="center"/>
          </w:tcPr>
          <w:p w14:paraId="44882C78">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5</w:t>
            </w:r>
          </w:p>
        </w:tc>
        <w:tc>
          <w:tcPr>
            <w:tcW w:w="523" w:type="dxa"/>
            <w:tcBorders>
              <w:top w:val="single" w:color="000000" w:sz="8" w:space="0"/>
              <w:bottom w:val="single" w:color="000000" w:sz="8" w:space="0"/>
              <w:right w:val="single" w:color="000000" w:sz="8" w:space="0"/>
            </w:tcBorders>
            <w:shd w:val="clear"/>
            <w:vAlign w:val="center"/>
          </w:tcPr>
          <w:p w14:paraId="39A6B0F4">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6</w:t>
            </w:r>
          </w:p>
        </w:tc>
        <w:tc>
          <w:tcPr>
            <w:tcW w:w="522" w:type="dxa"/>
            <w:tcBorders>
              <w:top w:val="single" w:color="000000" w:sz="8" w:space="0"/>
              <w:bottom w:val="single" w:color="000000" w:sz="8" w:space="0"/>
              <w:right w:val="single" w:color="000000" w:sz="8" w:space="0"/>
            </w:tcBorders>
            <w:shd w:val="clear"/>
            <w:vAlign w:val="center"/>
          </w:tcPr>
          <w:p w14:paraId="23011C23">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7</w:t>
            </w:r>
          </w:p>
        </w:tc>
        <w:tc>
          <w:tcPr>
            <w:tcW w:w="522" w:type="dxa"/>
            <w:tcBorders>
              <w:top w:val="single" w:color="000000" w:sz="8" w:space="0"/>
              <w:bottom w:val="single" w:color="000000" w:sz="8" w:space="0"/>
              <w:right w:val="single" w:color="000000" w:sz="8" w:space="0"/>
            </w:tcBorders>
            <w:shd w:val="clear"/>
            <w:vAlign w:val="center"/>
          </w:tcPr>
          <w:p w14:paraId="2B07A3B6">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8</w:t>
            </w:r>
          </w:p>
        </w:tc>
        <w:tc>
          <w:tcPr>
            <w:tcW w:w="523" w:type="dxa"/>
            <w:tcBorders>
              <w:top w:val="single" w:color="000000" w:sz="8" w:space="0"/>
              <w:bottom w:val="single" w:color="000000" w:sz="8" w:space="0"/>
              <w:right w:val="single" w:color="000000" w:sz="8" w:space="0"/>
            </w:tcBorders>
            <w:shd w:val="clear"/>
            <w:vAlign w:val="center"/>
          </w:tcPr>
          <w:p w14:paraId="3BB6107E">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9</w:t>
            </w:r>
          </w:p>
        </w:tc>
        <w:tc>
          <w:tcPr>
            <w:tcW w:w="522" w:type="dxa"/>
            <w:tcBorders>
              <w:top w:val="single" w:color="000000" w:sz="8" w:space="0"/>
              <w:bottom w:val="single" w:color="000000" w:sz="8" w:space="0"/>
              <w:right w:val="single" w:color="000000" w:sz="8" w:space="0"/>
            </w:tcBorders>
            <w:shd w:val="clear"/>
            <w:vAlign w:val="center"/>
          </w:tcPr>
          <w:p w14:paraId="56A530FB">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10</w:t>
            </w:r>
          </w:p>
        </w:tc>
        <w:tc>
          <w:tcPr>
            <w:tcW w:w="522" w:type="dxa"/>
            <w:tcBorders>
              <w:top w:val="single" w:color="000000" w:sz="8" w:space="0"/>
              <w:bottom w:val="single" w:color="000000" w:sz="8" w:space="0"/>
              <w:right w:val="single" w:color="000000" w:sz="8" w:space="0"/>
            </w:tcBorders>
            <w:shd w:val="clear"/>
            <w:vAlign w:val="center"/>
          </w:tcPr>
          <w:p w14:paraId="5AE1D252">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11</w:t>
            </w:r>
          </w:p>
        </w:tc>
        <w:tc>
          <w:tcPr>
            <w:tcW w:w="523" w:type="dxa"/>
            <w:tcBorders>
              <w:top w:val="single" w:color="000000" w:sz="8" w:space="0"/>
              <w:bottom w:val="single" w:color="000000" w:sz="8" w:space="0"/>
              <w:right w:val="single" w:color="000000" w:sz="8" w:space="0"/>
            </w:tcBorders>
            <w:shd w:val="clear"/>
            <w:vAlign w:val="center"/>
          </w:tcPr>
          <w:p w14:paraId="35B5BB97">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12</w:t>
            </w:r>
          </w:p>
        </w:tc>
      </w:tr>
      <w:tr w14:paraId="2996D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5" w:hRule="atLeast"/>
          <w:jc w:val="center"/>
        </w:trPr>
        <w:tc>
          <w:tcPr>
            <w:tcW w:w="1687" w:type="dxa"/>
            <w:tcBorders>
              <w:left w:val="single" w:color="000000" w:sz="8" w:space="0"/>
              <w:bottom w:val="single" w:color="000000" w:sz="8" w:space="0"/>
              <w:right w:val="single" w:color="000000" w:sz="8" w:space="0"/>
            </w:tcBorders>
            <w:shd w:val="clear"/>
            <w:vAlign w:val="center"/>
          </w:tcPr>
          <w:p w14:paraId="6CE00301">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比例（%）</w:t>
            </w:r>
          </w:p>
        </w:tc>
        <w:tc>
          <w:tcPr>
            <w:tcW w:w="522" w:type="dxa"/>
            <w:tcBorders>
              <w:bottom w:val="single" w:color="000000" w:sz="8" w:space="0"/>
              <w:right w:val="single" w:color="000000" w:sz="8" w:space="0"/>
            </w:tcBorders>
            <w:shd w:val="clear"/>
            <w:vAlign w:val="center"/>
          </w:tcPr>
          <w:p w14:paraId="789349CB">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10</w:t>
            </w:r>
          </w:p>
        </w:tc>
        <w:tc>
          <w:tcPr>
            <w:tcW w:w="522" w:type="dxa"/>
            <w:tcBorders>
              <w:bottom w:val="single" w:color="000000" w:sz="8" w:space="0"/>
              <w:right w:val="single" w:color="000000" w:sz="8" w:space="0"/>
            </w:tcBorders>
            <w:shd w:val="clear"/>
            <w:vAlign w:val="center"/>
          </w:tcPr>
          <w:p w14:paraId="4C15B9B0">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20</w:t>
            </w:r>
          </w:p>
        </w:tc>
        <w:tc>
          <w:tcPr>
            <w:tcW w:w="523" w:type="dxa"/>
            <w:tcBorders>
              <w:bottom w:val="single" w:color="000000" w:sz="8" w:space="0"/>
              <w:right w:val="single" w:color="000000" w:sz="8" w:space="0"/>
            </w:tcBorders>
            <w:shd w:val="clear"/>
            <w:vAlign w:val="center"/>
          </w:tcPr>
          <w:p w14:paraId="45E86251">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30</w:t>
            </w:r>
          </w:p>
        </w:tc>
        <w:tc>
          <w:tcPr>
            <w:tcW w:w="522" w:type="dxa"/>
            <w:tcBorders>
              <w:bottom w:val="single" w:color="000000" w:sz="8" w:space="0"/>
              <w:right w:val="single" w:color="000000" w:sz="8" w:space="0"/>
            </w:tcBorders>
            <w:shd w:val="clear"/>
            <w:vAlign w:val="center"/>
          </w:tcPr>
          <w:p w14:paraId="522FF1F9">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40</w:t>
            </w:r>
          </w:p>
        </w:tc>
        <w:tc>
          <w:tcPr>
            <w:tcW w:w="522" w:type="dxa"/>
            <w:tcBorders>
              <w:bottom w:val="single" w:color="000000" w:sz="8" w:space="0"/>
              <w:right w:val="single" w:color="000000" w:sz="8" w:space="0"/>
            </w:tcBorders>
            <w:shd w:val="clear"/>
            <w:vAlign w:val="center"/>
          </w:tcPr>
          <w:p w14:paraId="3DFDCA23">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50</w:t>
            </w:r>
          </w:p>
        </w:tc>
        <w:tc>
          <w:tcPr>
            <w:tcW w:w="523" w:type="dxa"/>
            <w:tcBorders>
              <w:bottom w:val="single" w:color="000000" w:sz="8" w:space="0"/>
              <w:right w:val="single" w:color="000000" w:sz="8" w:space="0"/>
            </w:tcBorders>
            <w:shd w:val="clear"/>
            <w:vAlign w:val="center"/>
          </w:tcPr>
          <w:p w14:paraId="4738BA2A">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60</w:t>
            </w:r>
          </w:p>
        </w:tc>
        <w:tc>
          <w:tcPr>
            <w:tcW w:w="522" w:type="dxa"/>
            <w:tcBorders>
              <w:bottom w:val="single" w:color="000000" w:sz="8" w:space="0"/>
              <w:right w:val="single" w:color="000000" w:sz="8" w:space="0"/>
            </w:tcBorders>
            <w:shd w:val="clear"/>
            <w:vAlign w:val="center"/>
          </w:tcPr>
          <w:p w14:paraId="5A277ADB">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70</w:t>
            </w:r>
          </w:p>
        </w:tc>
        <w:tc>
          <w:tcPr>
            <w:tcW w:w="522" w:type="dxa"/>
            <w:tcBorders>
              <w:bottom w:val="single" w:color="000000" w:sz="8" w:space="0"/>
              <w:right w:val="single" w:color="000000" w:sz="8" w:space="0"/>
            </w:tcBorders>
            <w:shd w:val="clear"/>
            <w:vAlign w:val="center"/>
          </w:tcPr>
          <w:p w14:paraId="472A379A">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80</w:t>
            </w:r>
          </w:p>
        </w:tc>
        <w:tc>
          <w:tcPr>
            <w:tcW w:w="523" w:type="dxa"/>
            <w:tcBorders>
              <w:bottom w:val="single" w:color="000000" w:sz="8" w:space="0"/>
              <w:right w:val="single" w:color="000000" w:sz="8" w:space="0"/>
            </w:tcBorders>
            <w:shd w:val="clear"/>
            <w:vAlign w:val="center"/>
          </w:tcPr>
          <w:p w14:paraId="3BD80BDF">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85</w:t>
            </w:r>
          </w:p>
        </w:tc>
        <w:tc>
          <w:tcPr>
            <w:tcW w:w="522" w:type="dxa"/>
            <w:tcBorders>
              <w:bottom w:val="single" w:color="000000" w:sz="8" w:space="0"/>
              <w:right w:val="single" w:color="000000" w:sz="8" w:space="0"/>
            </w:tcBorders>
            <w:shd w:val="clear"/>
            <w:vAlign w:val="center"/>
          </w:tcPr>
          <w:p w14:paraId="137AE192">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90</w:t>
            </w:r>
          </w:p>
        </w:tc>
        <w:tc>
          <w:tcPr>
            <w:tcW w:w="522" w:type="dxa"/>
            <w:tcBorders>
              <w:bottom w:val="single" w:color="000000" w:sz="8" w:space="0"/>
              <w:right w:val="single" w:color="000000" w:sz="8" w:space="0"/>
            </w:tcBorders>
            <w:shd w:val="clear"/>
            <w:vAlign w:val="center"/>
          </w:tcPr>
          <w:p w14:paraId="6BFDB250">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95</w:t>
            </w:r>
          </w:p>
        </w:tc>
        <w:tc>
          <w:tcPr>
            <w:tcW w:w="523" w:type="dxa"/>
            <w:tcBorders>
              <w:bottom w:val="single" w:color="000000" w:sz="8" w:space="0"/>
              <w:right w:val="single" w:color="000000" w:sz="8" w:space="0"/>
            </w:tcBorders>
            <w:shd w:val="clear"/>
            <w:vAlign w:val="center"/>
          </w:tcPr>
          <w:p w14:paraId="3D4192BE">
            <w:pPr>
              <w:pStyle w:val="6"/>
              <w:keepNext w:val="0"/>
              <w:keepLines w:val="0"/>
              <w:widowControl/>
              <w:suppressLineNumbers w:val="0"/>
              <w:spacing w:before="0" w:beforeAutospacing="0" w:after="156" w:afterAutospacing="0" w:line="242" w:lineRule="atLeast"/>
              <w:ind w:left="0" w:right="0"/>
              <w:jc w:val="center"/>
              <w:rPr>
                <w:sz w:val="21"/>
                <w:szCs w:val="21"/>
              </w:rPr>
            </w:pPr>
            <w:r>
              <w:rPr>
                <w:rFonts w:hint="eastAsia" w:ascii="宋体" w:hAnsi="宋体" w:eastAsia="宋体" w:cs="宋体"/>
                <w:sz w:val="21"/>
                <w:szCs w:val="21"/>
              </w:rPr>
              <w:t>100</w:t>
            </w:r>
          </w:p>
        </w:tc>
      </w:tr>
    </w:tbl>
    <w:p w14:paraId="7732590B">
      <w:pPr>
        <w:pStyle w:val="6"/>
        <w:keepNext w:val="0"/>
        <w:keepLines w:val="0"/>
        <w:widowControl/>
        <w:suppressLineNumbers w:val="0"/>
        <w:spacing w:before="0" w:beforeAutospacing="0" w:after="156" w:afterAutospacing="0" w:line="242" w:lineRule="atLeast"/>
        <w:ind w:left="0" w:right="0" w:firstLine="420"/>
        <w:jc w:val="both"/>
        <w:rPr>
          <w:rFonts w:hint="default" w:ascii="Times New Roman" w:hAnsi="Times New Roman" w:cs="Times New Roman"/>
          <w:i w:val="0"/>
          <w:iCs w:val="0"/>
          <w:caps w:val="0"/>
          <w:color w:val="000000"/>
          <w:spacing w:val="0"/>
          <w:sz w:val="21"/>
          <w:szCs w:val="21"/>
        </w:rPr>
      </w:pPr>
      <w:r>
        <w:rPr>
          <w:rFonts w:hint="eastAsia" w:ascii="宋体" w:hAnsi="宋体" w:eastAsia="宋体" w:cs="宋体"/>
          <w:b/>
          <w:bCs/>
          <w:i w:val="0"/>
          <w:iCs w:val="0"/>
          <w:caps w:val="0"/>
          <w:color w:val="000000"/>
          <w:spacing w:val="0"/>
          <w:sz w:val="21"/>
          <w:szCs w:val="21"/>
        </w:rPr>
        <w:t>（注：保险期间月数不足一月的按一月计算）</w:t>
      </w:r>
    </w:p>
    <w:p w14:paraId="3732EFD8">
      <w:pPr>
        <w:pStyle w:val="6"/>
        <w:keepNext w:val="0"/>
        <w:keepLines w:val="0"/>
        <w:widowControl/>
        <w:suppressLineNumbers w:val="0"/>
        <w:spacing w:before="0" w:beforeAutospacing="0" w:after="156" w:afterAutospacing="0" w:line="242" w:lineRule="atLeast"/>
        <w:ind w:left="0" w:right="0" w:firstLine="0"/>
        <w:jc w:val="both"/>
        <w:rPr>
          <w:rFonts w:ascii="宋体" w:hAnsi="宋体"/>
        </w:rPr>
      </w:pPr>
      <w:r>
        <w:rPr>
          <w:rFonts w:hint="eastAsia" w:ascii="宋体" w:hAnsi="宋体" w:eastAsia="宋体" w:cs="宋体"/>
          <w:i w:val="0"/>
          <w:iCs w:val="0"/>
          <w:caps w:val="0"/>
          <w:color w:val="000000"/>
          <w:spacing w:val="0"/>
          <w:sz w:val="21"/>
          <w:szCs w:val="21"/>
        </w:rPr>
        <w:t> </w:t>
      </w:r>
      <w:bookmarkStart w:id="2" w:name="_GoBack"/>
      <w:bookmarkEnd w:id="2"/>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ELSLEL+TimesNewRoman">
    <w:altName w:val="Arial Unicode MS"/>
    <w:panose1 w:val="00000000000000000000"/>
    <w:charset w:val="01"/>
    <w:family w:val="roman"/>
    <w:pitch w:val="default"/>
    <w:sig w:usb0="00000000" w:usb1="00000000" w:usb2="00000009"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56D52">
    <w:pPr>
      <w:pStyle w:val="4"/>
      <w:jc w:val="center"/>
    </w:pPr>
    <w:r>
      <w:fldChar w:fldCharType="begin"/>
    </w:r>
    <w:r>
      <w:instrText xml:space="preserve"> PAGE   \* MERGEFORMAT </w:instrText>
    </w:r>
    <w:r>
      <w:fldChar w:fldCharType="separate"/>
    </w:r>
    <w:r>
      <w:rPr>
        <w:lang w:val="zh-CN"/>
      </w:rPr>
      <w:t>1</w:t>
    </w:r>
    <w:r>
      <w:rPr>
        <w:lang w:val="zh-CN"/>
      </w:rPr>
      <w:fldChar w:fldCharType="end"/>
    </w:r>
  </w:p>
  <w:p w14:paraId="185FC8C5">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B3684E"/>
    <w:rsid w:val="00005DE6"/>
    <w:rsid w:val="00016539"/>
    <w:rsid w:val="0005215C"/>
    <w:rsid w:val="00054E93"/>
    <w:rsid w:val="000564A9"/>
    <w:rsid w:val="00070119"/>
    <w:rsid w:val="00070C8C"/>
    <w:rsid w:val="000A1128"/>
    <w:rsid w:val="000C6C9E"/>
    <w:rsid w:val="00145098"/>
    <w:rsid w:val="001456B3"/>
    <w:rsid w:val="001A4A4C"/>
    <w:rsid w:val="001B1E70"/>
    <w:rsid w:val="001B4DB8"/>
    <w:rsid w:val="001E1538"/>
    <w:rsid w:val="001F3DCC"/>
    <w:rsid w:val="00227F10"/>
    <w:rsid w:val="002327B6"/>
    <w:rsid w:val="0023409C"/>
    <w:rsid w:val="002511BE"/>
    <w:rsid w:val="00315099"/>
    <w:rsid w:val="00354765"/>
    <w:rsid w:val="00372A08"/>
    <w:rsid w:val="003731AE"/>
    <w:rsid w:val="00376981"/>
    <w:rsid w:val="00385722"/>
    <w:rsid w:val="003D3C0F"/>
    <w:rsid w:val="003E4764"/>
    <w:rsid w:val="003F5B58"/>
    <w:rsid w:val="004431E2"/>
    <w:rsid w:val="00450C9B"/>
    <w:rsid w:val="004608A6"/>
    <w:rsid w:val="00490FBE"/>
    <w:rsid w:val="00503700"/>
    <w:rsid w:val="00567A4D"/>
    <w:rsid w:val="00582078"/>
    <w:rsid w:val="0058270E"/>
    <w:rsid w:val="00592AC4"/>
    <w:rsid w:val="005949E2"/>
    <w:rsid w:val="005A1B76"/>
    <w:rsid w:val="005B28BD"/>
    <w:rsid w:val="005C4905"/>
    <w:rsid w:val="005E3DD0"/>
    <w:rsid w:val="005F4608"/>
    <w:rsid w:val="006135F2"/>
    <w:rsid w:val="00641795"/>
    <w:rsid w:val="00682C98"/>
    <w:rsid w:val="006938FF"/>
    <w:rsid w:val="00737276"/>
    <w:rsid w:val="00747C5C"/>
    <w:rsid w:val="00793DF3"/>
    <w:rsid w:val="00794411"/>
    <w:rsid w:val="007A3B85"/>
    <w:rsid w:val="0080458B"/>
    <w:rsid w:val="008227D8"/>
    <w:rsid w:val="00860532"/>
    <w:rsid w:val="00877B90"/>
    <w:rsid w:val="008A1602"/>
    <w:rsid w:val="008B3E9E"/>
    <w:rsid w:val="00903691"/>
    <w:rsid w:val="00912A7E"/>
    <w:rsid w:val="00931FBE"/>
    <w:rsid w:val="009813CF"/>
    <w:rsid w:val="009923C1"/>
    <w:rsid w:val="009C4BD5"/>
    <w:rsid w:val="009C5206"/>
    <w:rsid w:val="009D5A56"/>
    <w:rsid w:val="00A301CD"/>
    <w:rsid w:val="00A33294"/>
    <w:rsid w:val="00A53373"/>
    <w:rsid w:val="00A63170"/>
    <w:rsid w:val="00A64459"/>
    <w:rsid w:val="00A67866"/>
    <w:rsid w:val="00A77238"/>
    <w:rsid w:val="00A80872"/>
    <w:rsid w:val="00AE54B7"/>
    <w:rsid w:val="00AE5AED"/>
    <w:rsid w:val="00AE78AE"/>
    <w:rsid w:val="00B2421B"/>
    <w:rsid w:val="00B3684E"/>
    <w:rsid w:val="00B5654E"/>
    <w:rsid w:val="00B71368"/>
    <w:rsid w:val="00BB77BD"/>
    <w:rsid w:val="00BF76A0"/>
    <w:rsid w:val="00C163C2"/>
    <w:rsid w:val="00C9491E"/>
    <w:rsid w:val="00CA15C0"/>
    <w:rsid w:val="00CD24D4"/>
    <w:rsid w:val="00CD7288"/>
    <w:rsid w:val="00CF67E4"/>
    <w:rsid w:val="00D45DA8"/>
    <w:rsid w:val="00D51435"/>
    <w:rsid w:val="00D575B4"/>
    <w:rsid w:val="00D70139"/>
    <w:rsid w:val="00D813BA"/>
    <w:rsid w:val="00E43BB3"/>
    <w:rsid w:val="00E774F9"/>
    <w:rsid w:val="00E802EA"/>
    <w:rsid w:val="00E94E2D"/>
    <w:rsid w:val="00EA71AF"/>
    <w:rsid w:val="00EA7401"/>
    <w:rsid w:val="00F15D41"/>
    <w:rsid w:val="00F25777"/>
    <w:rsid w:val="00F363FE"/>
    <w:rsid w:val="00F37FA5"/>
    <w:rsid w:val="00F628EA"/>
    <w:rsid w:val="00F920D2"/>
    <w:rsid w:val="00FA13CA"/>
    <w:rsid w:val="00FE006B"/>
    <w:rsid w:val="03152587"/>
    <w:rsid w:val="27234970"/>
    <w:rsid w:val="49C9794E"/>
    <w:rsid w:val="7C9477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3"/>
    <w:semiHidden/>
    <w:unhideWhenUsed/>
    <w:qFormat/>
    <w:uiPriority w:val="99"/>
    <w:pPr>
      <w:jc w:val="left"/>
    </w:pPr>
  </w:style>
  <w:style w:type="paragraph" w:styleId="3">
    <w:name w:val="Balloon Text"/>
    <w:basedOn w:val="1"/>
    <w:link w:val="26"/>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7">
    <w:name w:val="Title"/>
    <w:basedOn w:val="1"/>
    <w:next w:val="1"/>
    <w:link w:val="20"/>
    <w:qFormat/>
    <w:uiPriority w:val="0"/>
    <w:pPr>
      <w:spacing w:before="240" w:after="60"/>
      <w:jc w:val="center"/>
      <w:outlineLvl w:val="0"/>
    </w:pPr>
    <w:rPr>
      <w:rFonts w:ascii="Cambria" w:hAnsi="Cambria"/>
      <w:b/>
      <w:bCs/>
      <w:sz w:val="32"/>
      <w:szCs w:val="32"/>
    </w:rPr>
  </w:style>
  <w:style w:type="paragraph" w:styleId="8">
    <w:name w:val="annotation subject"/>
    <w:basedOn w:val="2"/>
    <w:next w:val="2"/>
    <w:link w:val="24"/>
    <w:semiHidden/>
    <w:unhideWhenUsed/>
    <w:qFormat/>
    <w:uiPriority w:val="99"/>
    <w:rPr>
      <w:b/>
      <w:bCs/>
    </w:rPr>
  </w:style>
  <w:style w:type="character" w:styleId="11">
    <w:name w:val="annotation reference"/>
    <w:basedOn w:val="10"/>
    <w:semiHidden/>
    <w:unhideWhenUsed/>
    <w:qFormat/>
    <w:uiPriority w:val="99"/>
    <w:rPr>
      <w:sz w:val="21"/>
      <w:szCs w:val="21"/>
    </w:rPr>
  </w:style>
  <w:style w:type="character" w:customStyle="1" w:styleId="12">
    <w:name w:val="页眉 Char"/>
    <w:basedOn w:val="10"/>
    <w:link w:val="5"/>
    <w:qFormat/>
    <w:uiPriority w:val="99"/>
    <w:rPr>
      <w:sz w:val="18"/>
      <w:szCs w:val="18"/>
    </w:rPr>
  </w:style>
  <w:style w:type="character" w:customStyle="1" w:styleId="13">
    <w:name w:val="页脚 Char"/>
    <w:basedOn w:val="10"/>
    <w:link w:val="4"/>
    <w:qFormat/>
    <w:uiPriority w:val="99"/>
    <w:rPr>
      <w:sz w:val="18"/>
      <w:szCs w:val="18"/>
    </w:rPr>
  </w:style>
  <w:style w:type="character" w:customStyle="1" w:styleId="14">
    <w:name w:val="apple-style-span"/>
    <w:basedOn w:val="10"/>
    <w:qFormat/>
    <w:uiPriority w:val="0"/>
  </w:style>
  <w:style w:type="character" w:customStyle="1" w:styleId="15">
    <w:name w:val="注解（小四，楷体） Char"/>
    <w:link w:val="16"/>
    <w:qFormat/>
    <w:uiPriority w:val="0"/>
    <w:rPr>
      <w:rFonts w:ascii="楷体" w:hAnsi="楷体" w:eastAsia="楷体"/>
      <w:sz w:val="24"/>
      <w:szCs w:val="24"/>
    </w:rPr>
  </w:style>
  <w:style w:type="paragraph" w:customStyle="1" w:styleId="16">
    <w:name w:val="注解（小四，楷体）"/>
    <w:basedOn w:val="1"/>
    <w:link w:val="15"/>
    <w:qFormat/>
    <w:uiPriority w:val="0"/>
    <w:pPr>
      <w:widowControl/>
      <w:contextualSpacing/>
      <w:jc w:val="left"/>
    </w:pPr>
    <w:rPr>
      <w:rFonts w:ascii="楷体" w:hAnsi="楷体" w:eastAsia="楷体" w:cstheme="minorBidi"/>
      <w:sz w:val="24"/>
      <w:szCs w:val="24"/>
    </w:rPr>
  </w:style>
  <w:style w:type="character" w:customStyle="1" w:styleId="17">
    <w:name w:val="标题 Char"/>
    <w:qFormat/>
    <w:uiPriority w:val="0"/>
    <w:rPr>
      <w:rFonts w:ascii="Cambria" w:hAnsi="Cambria" w:eastAsia="宋体" w:cs="Times New Roman"/>
      <w:b/>
      <w:bCs/>
      <w:sz w:val="32"/>
      <w:szCs w:val="32"/>
    </w:rPr>
  </w:style>
  <w:style w:type="character" w:customStyle="1" w:styleId="18">
    <w:name w:val="条款大标题 Char"/>
    <w:link w:val="19"/>
    <w:qFormat/>
    <w:uiPriority w:val="0"/>
    <w:rPr>
      <w:rFonts w:ascii="Cambria" w:hAnsi="Cambria" w:eastAsia="宋体" w:cs="Times New Roman"/>
      <w:b/>
      <w:bCs/>
      <w:sz w:val="32"/>
      <w:szCs w:val="32"/>
    </w:rPr>
  </w:style>
  <w:style w:type="paragraph" w:customStyle="1" w:styleId="19">
    <w:name w:val="条款大标题"/>
    <w:basedOn w:val="7"/>
    <w:link w:val="18"/>
    <w:qFormat/>
    <w:uiPriority w:val="0"/>
    <w:pPr>
      <w:snapToGrid w:val="0"/>
    </w:pPr>
  </w:style>
  <w:style w:type="character" w:customStyle="1" w:styleId="20">
    <w:name w:val="标题 Char1"/>
    <w:basedOn w:val="10"/>
    <w:link w:val="7"/>
    <w:qFormat/>
    <w:uiPriority w:val="10"/>
    <w:rPr>
      <w:rFonts w:eastAsia="宋体" w:asciiTheme="majorHAnsi" w:hAnsiTheme="majorHAnsi" w:cstheme="majorBidi"/>
      <w:b/>
      <w:bCs/>
      <w:sz w:val="32"/>
      <w:szCs w:val="32"/>
    </w:rPr>
  </w:style>
  <w:style w:type="paragraph" w:customStyle="1" w:styleId="21">
    <w:name w:val="条款正文"/>
    <w:basedOn w:val="1"/>
    <w:qFormat/>
    <w:uiPriority w:val="0"/>
    <w:pPr>
      <w:adjustRightInd w:val="0"/>
      <w:snapToGrid w:val="0"/>
      <w:ind w:left="840" w:leftChars="400" w:firstLine="420" w:firstLineChars="200"/>
    </w:pPr>
    <w:rPr>
      <w:rFonts w:ascii="Times New Roman" w:hAnsi="Times New Roman"/>
      <w:szCs w:val="24"/>
    </w:rPr>
  </w:style>
  <w:style w:type="paragraph" w:customStyle="1" w:styleId="22">
    <w:name w:val="条款标题"/>
    <w:basedOn w:val="21"/>
    <w:qFormat/>
    <w:uiPriority w:val="0"/>
    <w:pPr>
      <w:tabs>
        <w:tab w:val="left" w:pos="840"/>
      </w:tabs>
      <w:ind w:left="0" w:leftChars="0" w:firstLine="0" w:firstLineChars="0"/>
    </w:pPr>
    <w:rPr>
      <w:b/>
    </w:rPr>
  </w:style>
  <w:style w:type="character" w:customStyle="1" w:styleId="23">
    <w:name w:val="批注文字 Char"/>
    <w:basedOn w:val="10"/>
    <w:link w:val="2"/>
    <w:semiHidden/>
    <w:qFormat/>
    <w:uiPriority w:val="99"/>
    <w:rPr>
      <w:rFonts w:ascii="Calibri" w:hAnsi="Calibri" w:eastAsia="宋体" w:cs="Times New Roman"/>
    </w:rPr>
  </w:style>
  <w:style w:type="character" w:customStyle="1" w:styleId="24">
    <w:name w:val="批注主题 Char"/>
    <w:basedOn w:val="23"/>
    <w:link w:val="8"/>
    <w:semiHidden/>
    <w:qFormat/>
    <w:uiPriority w:val="99"/>
    <w:rPr>
      <w:rFonts w:ascii="Calibri" w:hAnsi="Calibri" w:eastAsia="宋体" w:cs="Times New Roman"/>
      <w:b/>
      <w:bCs/>
    </w:rPr>
  </w:style>
  <w:style w:type="paragraph" w:customStyle="1" w:styleId="25">
    <w:name w:val="修订1"/>
    <w:hidden/>
    <w:semiHidden/>
    <w:qFormat/>
    <w:uiPriority w:val="99"/>
    <w:rPr>
      <w:rFonts w:ascii="Calibri" w:hAnsi="Calibri" w:eastAsia="宋体" w:cs="Times New Roman"/>
      <w:kern w:val="2"/>
      <w:sz w:val="21"/>
      <w:szCs w:val="22"/>
      <w:lang w:val="en-US" w:eastAsia="zh-CN" w:bidi="ar-SA"/>
    </w:rPr>
  </w:style>
  <w:style w:type="character" w:customStyle="1" w:styleId="26">
    <w:name w:val="批注框文本 Char"/>
    <w:basedOn w:val="10"/>
    <w:link w:val="3"/>
    <w:semiHidden/>
    <w:qFormat/>
    <w:uiPriority w:val="99"/>
    <w:rPr>
      <w:rFonts w:ascii="Calibri" w:hAnsi="Calibri" w:eastAsia="宋体" w:cs="Times New Roman"/>
      <w:sz w:val="18"/>
      <w:szCs w:val="18"/>
    </w:rPr>
  </w:style>
  <w:style w:type="character" w:customStyle="1" w:styleId="27">
    <w:name w:val="Dongtingting"/>
    <w:semiHidden/>
    <w:qFormat/>
    <w:uiPriority w:val="0"/>
    <w:rPr>
      <w:rFonts w:ascii="Arial" w:hAnsi="Arial" w:eastAsia="宋体" w:cs="Arial"/>
      <w:color w:val="000080"/>
      <w:sz w:val="18"/>
      <w:szCs w:val="20"/>
    </w:rPr>
  </w:style>
  <w:style w:type="paragraph" w:styleId="28">
    <w:name w:val="List Paragraph"/>
    <w:basedOn w:val="1"/>
    <w:qFormat/>
    <w:uiPriority w:val="34"/>
    <w:pPr>
      <w:ind w:firstLine="420" w:firstLineChars="200"/>
    </w:pPr>
    <w:rPr>
      <w:rFonts w:asciiTheme="minorHAnsi" w:hAnsiTheme="minorHAnsi" w:eastAsiaTheme="minorEastAsia" w:cstheme="minorBidi"/>
    </w:rPr>
  </w:style>
  <w:style w:type="paragraph" w:customStyle="1" w:styleId="29">
    <w:name w:val="Revision"/>
    <w:hidden/>
    <w:semiHidden/>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35ED6-DBBA-43ED-988E-E97966986A06}">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8304</Words>
  <Characters>8401</Characters>
  <Lines>61</Lines>
  <Paragraphs>17</Paragraphs>
  <TotalTime>190</TotalTime>
  <ScaleCrop>false</ScaleCrop>
  <LinksUpToDate>false</LinksUpToDate>
  <CharactersWithSpaces>8437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2022-04-27T09:01:00Z</dcterms:created>
  <dc:creator>penglang</dc:creator>
  <cp:lastModifiedBy>郝娟</cp:lastModifiedBy>
  <dcterms:modified xsi:type="dcterms:W3CDTF">2026-01-14T10:28:41Z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eyJoZGlkIjoiZTVmMTMzNzk2NzFkNDYyZjgwZWZjNjNiMzg3NWUxOTkiLCJ1c2VySWQiOiI3NDE0MTgxMDIifQ==</vt:lpwstr>
  </property>
  <property fmtid="{D5CDD505-2E9C-101B-9397-08002B2CF9AE}" pid="4" name="ICV">
    <vt:lpwstr>BD6BCCA77F63403FB9DFB76C731B057D_12</vt:lpwstr>
  </property>
</Properties>
</file>